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C6D8F" w14:textId="77777777" w:rsidR="002739F1" w:rsidRDefault="00A95227" w:rsidP="00A95227">
      <w:pPr>
        <w:jc w:val="center"/>
        <w:rPr>
          <w:rFonts w:ascii="Garamond" w:eastAsia="Garamond" w:hAnsi="Garamond" w:cs="Garamond"/>
          <w:b/>
        </w:rPr>
      </w:pPr>
      <w:r>
        <w:rPr>
          <w:rFonts w:ascii="Garamond" w:eastAsia="Garamond" w:hAnsi="Garamond" w:cs="Garamond"/>
          <w:b/>
        </w:rPr>
        <w:t>LAS4935-6938/LAH3931</w:t>
      </w:r>
      <w:r w:rsidR="002739F1">
        <w:rPr>
          <w:rFonts w:ascii="Garamond" w:eastAsia="Garamond" w:hAnsi="Garamond" w:cs="Garamond"/>
          <w:b/>
        </w:rPr>
        <w:t>/WST4930</w:t>
      </w:r>
      <w:r>
        <w:rPr>
          <w:rFonts w:ascii="Garamond" w:eastAsia="Garamond" w:hAnsi="Garamond" w:cs="Garamond"/>
          <w:b/>
        </w:rPr>
        <w:t xml:space="preserve">: </w:t>
      </w:r>
    </w:p>
    <w:p w14:paraId="66126163" w14:textId="475B3992" w:rsidR="00A95227" w:rsidRDefault="00A95227" w:rsidP="00A95227">
      <w:pPr>
        <w:jc w:val="center"/>
        <w:rPr>
          <w:rFonts w:ascii="Garamond" w:eastAsia="Garamond" w:hAnsi="Garamond" w:cs="Garamond"/>
          <w:b/>
        </w:rPr>
      </w:pPr>
      <w:r>
        <w:rPr>
          <w:rFonts w:ascii="Garamond" w:eastAsia="Garamond" w:hAnsi="Garamond" w:cs="Garamond"/>
          <w:b/>
        </w:rPr>
        <w:t>Social Movements and Gender: A View from Latin America</w:t>
      </w:r>
    </w:p>
    <w:p w14:paraId="6A2F0A66" w14:textId="77777777" w:rsidR="00A95227" w:rsidRDefault="00A95227" w:rsidP="00A95227">
      <w:pPr>
        <w:jc w:val="center"/>
        <w:rPr>
          <w:rFonts w:ascii="Garamond" w:eastAsia="Garamond" w:hAnsi="Garamond" w:cs="Garamond"/>
          <w:b/>
        </w:rPr>
      </w:pPr>
      <w:r>
        <w:rPr>
          <w:rFonts w:ascii="Garamond" w:eastAsia="Garamond" w:hAnsi="Garamond" w:cs="Garamond"/>
          <w:b/>
        </w:rPr>
        <w:t>Assistant Professor Meg Weeks (</w:t>
      </w:r>
      <w:hyperlink r:id="rId5">
        <w:r>
          <w:rPr>
            <w:rFonts w:ascii="Garamond" w:eastAsia="Garamond" w:hAnsi="Garamond" w:cs="Garamond"/>
            <w:b/>
            <w:color w:val="0000FF"/>
            <w:u w:val="single"/>
          </w:rPr>
          <w:t>weeksm@ufl.edu</w:t>
        </w:r>
      </w:hyperlink>
      <w:r>
        <w:rPr>
          <w:rFonts w:ascii="Garamond" w:eastAsia="Garamond" w:hAnsi="Garamond" w:cs="Garamond"/>
          <w:b/>
        </w:rPr>
        <w:t>), office: 352-273-4708</w:t>
      </w:r>
    </w:p>
    <w:p w14:paraId="29AED96D" w14:textId="2B89781A" w:rsidR="00A95227" w:rsidRDefault="00A95227" w:rsidP="00A95227">
      <w:pPr>
        <w:jc w:val="center"/>
        <w:rPr>
          <w:rFonts w:ascii="Garamond" w:eastAsia="Garamond" w:hAnsi="Garamond" w:cs="Garamond"/>
          <w:b/>
        </w:rPr>
      </w:pPr>
      <w:r>
        <w:rPr>
          <w:rFonts w:ascii="Garamond" w:eastAsia="Garamond" w:hAnsi="Garamond" w:cs="Garamond"/>
          <w:b/>
        </w:rPr>
        <w:t xml:space="preserve">Office hours (Grinter 378): </w:t>
      </w:r>
      <w:r w:rsidR="00EE51C3">
        <w:rPr>
          <w:rFonts w:ascii="Garamond" w:eastAsia="Garamond" w:hAnsi="Garamond" w:cs="Garamond"/>
          <w:b/>
        </w:rPr>
        <w:t>Tuesdays and Thursdays, 2:30-4:30pm</w:t>
      </w:r>
    </w:p>
    <w:p w14:paraId="33D7F36E" w14:textId="77777777" w:rsidR="00A95227" w:rsidRDefault="00A95227" w:rsidP="00A95227">
      <w:pPr>
        <w:rPr>
          <w:rFonts w:ascii="Garamond" w:eastAsia="Garamond" w:hAnsi="Garamond" w:cs="Garamond"/>
          <w:b/>
        </w:rPr>
      </w:pPr>
    </w:p>
    <w:p w14:paraId="7EA28BB6" w14:textId="36ECF085" w:rsidR="00A95227" w:rsidRDefault="00A95227" w:rsidP="00A95227">
      <w:pPr>
        <w:jc w:val="center"/>
        <w:rPr>
          <w:rFonts w:ascii="Garamond" w:eastAsia="Garamond" w:hAnsi="Garamond" w:cs="Garamond"/>
          <w:b/>
        </w:rPr>
      </w:pPr>
      <w:r>
        <w:rPr>
          <w:rFonts w:ascii="Garamond" w:eastAsia="Garamond" w:hAnsi="Garamond" w:cs="Garamond"/>
          <w:b/>
        </w:rPr>
        <w:t>Fall 2025</w:t>
      </w:r>
    </w:p>
    <w:p w14:paraId="3CD6D3A2" w14:textId="1F5DDB48" w:rsidR="00A95227" w:rsidRDefault="00A95227" w:rsidP="009C2DF7">
      <w:pPr>
        <w:ind w:left="1440" w:hanging="1440"/>
        <w:jc w:val="center"/>
        <w:rPr>
          <w:rFonts w:ascii="Garamond" w:eastAsia="Garamond" w:hAnsi="Garamond" w:cs="Garamond"/>
          <w:b/>
        </w:rPr>
      </w:pPr>
      <w:r>
        <w:rPr>
          <w:rFonts w:ascii="Garamond" w:eastAsia="Garamond" w:hAnsi="Garamond" w:cs="Garamond"/>
          <w:b/>
        </w:rPr>
        <w:t>Mondays, 12:50-3:50pm</w:t>
      </w:r>
      <w:r w:rsidR="004967D5">
        <w:rPr>
          <w:rFonts w:ascii="Garamond" w:eastAsia="Garamond" w:hAnsi="Garamond" w:cs="Garamond"/>
          <w:b/>
        </w:rPr>
        <w:t>, Grinter 376</w:t>
      </w:r>
    </w:p>
    <w:p w14:paraId="42DA0560" w14:textId="77777777" w:rsidR="00A95227" w:rsidRDefault="00A95227" w:rsidP="00A95227">
      <w:pPr>
        <w:rPr>
          <w:rFonts w:ascii="Garamond" w:eastAsia="Garamond" w:hAnsi="Garamond" w:cs="Garamond"/>
        </w:rPr>
      </w:pPr>
    </w:p>
    <w:p w14:paraId="410CFCEE" w14:textId="77777777" w:rsidR="00A95227" w:rsidRDefault="00A95227" w:rsidP="00A95227">
      <w:pPr>
        <w:rPr>
          <w:rFonts w:ascii="Garamond" w:eastAsia="Garamond" w:hAnsi="Garamond" w:cs="Garamond"/>
        </w:rPr>
      </w:pPr>
      <w:r>
        <w:rPr>
          <w:rFonts w:ascii="Garamond" w:eastAsia="Garamond" w:hAnsi="Garamond" w:cs="Garamond"/>
          <w:b/>
        </w:rPr>
        <w:t>Course Description:</w:t>
      </w:r>
      <w:r>
        <w:rPr>
          <w:rFonts w:ascii="Garamond" w:eastAsia="Garamond" w:hAnsi="Garamond" w:cs="Garamond"/>
        </w:rPr>
        <w:t xml:space="preserve"> This seminar examines social and cultural movements led by women and LGBTQ activists in twentieth-century Latin America. We will analyze the major moments of social and political change in the region through the prisms of gender, race, and sexuality, asking how these transitions were experienced by women and people of non-normative genders and sexualities, problematizing and disaggregating these categories through rigorous analysis. What does it mean to be a “woman” doing politics? How did women and queer people envision social change in both the domestic sphere and the formal political arena? How did archetypes of gender and sexuality shift during moments of political change and how were they entrenched? How can we think of cultural production as a way in which subaltern subjects think and act politically and how do cultural movements intersect with formal politics? And finally, how do these social and cultural movements map onto historiographical concepts of feminism and LGBTQ activism originating in the Global North? In approaching these questions, we will interrogate notions of “revolutionary masculinity,” looking to how both grassroots politics and political change forged from the top down were expressed in deeply gendered and racialized ways. We will pay close attention to how these processes played out differently for women of different social classes, geographic origins, races, and ethnic identities, while situating our analysis in conversation with studies of the global sexual revolution, the Cold War, and the first, second, and third waves of feminism. </w:t>
      </w:r>
    </w:p>
    <w:p w14:paraId="2A50141F" w14:textId="77777777" w:rsidR="00A95227" w:rsidRDefault="00A95227" w:rsidP="00A95227">
      <w:pPr>
        <w:rPr>
          <w:rFonts w:ascii="Garamond" w:eastAsia="Garamond" w:hAnsi="Garamond" w:cs="Garamond"/>
        </w:rPr>
      </w:pPr>
    </w:p>
    <w:p w14:paraId="5D20C50C" w14:textId="77777777" w:rsidR="00A95227" w:rsidRDefault="00A95227" w:rsidP="00A95227">
      <w:pPr>
        <w:rPr>
          <w:rFonts w:ascii="Garamond" w:eastAsia="Garamond" w:hAnsi="Garamond" w:cs="Garamond"/>
          <w:sz w:val="23"/>
          <w:szCs w:val="23"/>
        </w:rPr>
      </w:pPr>
      <w:r>
        <w:rPr>
          <w:rFonts w:ascii="Garamond" w:eastAsia="Garamond" w:hAnsi="Garamond" w:cs="Garamond"/>
          <w:sz w:val="23"/>
          <w:szCs w:val="23"/>
        </w:rPr>
        <w:t>While we will focus primarily on women and queer people as vanguards of progressive change, the course will also consider women as agents of reactionary and conservative politics, examining Catholic activism and pro-regime mobilizations during the Cold War dictatorships of the Southern Cone and civil conflict in Central America. Relatedly, as a counterpoint to the notion of revolutionary masculinity, we will think about the ways in which authoritarian violence, in particular torture and forced disappearances, was justified by ideas about gender, family life, and Christian virtue. On a broader note, we will center our discussions around the question of how gender is treated in the historiography of this period, drawing our attention to archival silences with regard to the perspectives of women and LGBTQ people. In order to remediate these silences, we will look to a wide array of sources (beyond the types of written documents that privilege certain voices over others) to illuminate plural historical perspectives, such as memoirs, visual art, oral histories, music, and other manifestations of folk art and popular culture. Written assignments will ask students to make use of such sources in their historical argumentation.</w:t>
      </w:r>
    </w:p>
    <w:p w14:paraId="4D344AC1" w14:textId="77777777" w:rsidR="00A95227" w:rsidRDefault="00A95227" w:rsidP="00A95227">
      <w:pPr>
        <w:rPr>
          <w:rFonts w:ascii="Garamond" w:eastAsia="Garamond" w:hAnsi="Garamond" w:cs="Garamond"/>
        </w:rPr>
      </w:pPr>
    </w:p>
    <w:p w14:paraId="6A24AF71" w14:textId="77777777" w:rsidR="00A95227" w:rsidRDefault="00A95227" w:rsidP="00A95227">
      <w:pPr>
        <w:rPr>
          <w:rFonts w:ascii="Garamond" w:eastAsia="Garamond" w:hAnsi="Garamond" w:cs="Garamond"/>
          <w:b/>
        </w:rPr>
      </w:pPr>
      <w:r>
        <w:rPr>
          <w:rFonts w:ascii="Garamond" w:eastAsia="Garamond" w:hAnsi="Garamond" w:cs="Garamond"/>
          <w:b/>
        </w:rPr>
        <w:t>Course Learning Objectives:</w:t>
      </w:r>
    </w:p>
    <w:p w14:paraId="1C6B8062" w14:textId="77777777" w:rsidR="00A95227" w:rsidRDefault="00A95227" w:rsidP="00A95227">
      <w:pPr>
        <w:rPr>
          <w:rFonts w:ascii="Garamond" w:eastAsia="Garamond" w:hAnsi="Garamond" w:cs="Garamond"/>
          <w:b/>
        </w:rPr>
      </w:pPr>
    </w:p>
    <w:p w14:paraId="6328EC84" w14:textId="77777777" w:rsidR="00A95227" w:rsidRDefault="00A95227" w:rsidP="00A95227">
      <w:pPr>
        <w:numPr>
          <w:ilvl w:val="0"/>
          <w:numId w:val="3"/>
        </w:numPr>
        <w:pBdr>
          <w:top w:val="nil"/>
          <w:left w:val="nil"/>
          <w:bottom w:val="nil"/>
          <w:right w:val="nil"/>
          <w:between w:val="nil"/>
        </w:pBdr>
        <w:rPr>
          <w:rFonts w:ascii="Garamond" w:eastAsia="Garamond" w:hAnsi="Garamond" w:cs="Garamond"/>
          <w:b/>
          <w:color w:val="000000"/>
        </w:rPr>
      </w:pPr>
      <w:r>
        <w:rPr>
          <w:rFonts w:ascii="Garamond" w:eastAsia="Garamond" w:hAnsi="Garamond" w:cs="Garamond"/>
          <w:color w:val="000000"/>
        </w:rPr>
        <w:t>Gain an understanding of the major political changes and social movements in Latin America in the twentieth century</w:t>
      </w:r>
    </w:p>
    <w:p w14:paraId="340677A5" w14:textId="77777777" w:rsidR="00A95227" w:rsidRDefault="00A95227" w:rsidP="00A95227">
      <w:pPr>
        <w:numPr>
          <w:ilvl w:val="0"/>
          <w:numId w:val="3"/>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Critically interrogate categories of gender, race, and sexuality and how they shifted over time and across moments of political change</w:t>
      </w:r>
    </w:p>
    <w:p w14:paraId="7728B9CC" w14:textId="77777777" w:rsidR="00A95227" w:rsidRDefault="00A95227" w:rsidP="00A95227">
      <w:pPr>
        <w:numPr>
          <w:ilvl w:val="0"/>
          <w:numId w:val="3"/>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Identify feminist methodological innovations and interventions into existing bodies of scholarship</w:t>
      </w:r>
    </w:p>
    <w:p w14:paraId="706CC489" w14:textId="77777777" w:rsidR="00A95227" w:rsidRDefault="00A95227" w:rsidP="00A95227">
      <w:pPr>
        <w:numPr>
          <w:ilvl w:val="0"/>
          <w:numId w:val="3"/>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lastRenderedPageBreak/>
        <w:t>Develop skills to analyze a diverse range of sources, including material culture, visual sources, music, and cultural production</w:t>
      </w:r>
    </w:p>
    <w:p w14:paraId="17BCBE86" w14:textId="77777777" w:rsidR="00A95227" w:rsidRDefault="00A95227" w:rsidP="00A95227">
      <w:pPr>
        <w:numPr>
          <w:ilvl w:val="0"/>
          <w:numId w:val="3"/>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Develop research skills through rigorous engagement with both primary and secondary sources</w:t>
      </w:r>
    </w:p>
    <w:p w14:paraId="3EE5CCCF" w14:textId="77777777" w:rsidR="00A95227" w:rsidRDefault="00A95227" w:rsidP="00A95227">
      <w:pPr>
        <w:numPr>
          <w:ilvl w:val="0"/>
          <w:numId w:val="3"/>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Develop critical reflection skills by completing frequent short written assignments</w:t>
      </w:r>
    </w:p>
    <w:p w14:paraId="10EEE889" w14:textId="77777777" w:rsidR="00A95227" w:rsidRDefault="00A95227" w:rsidP="00A95227">
      <w:pPr>
        <w:numPr>
          <w:ilvl w:val="0"/>
          <w:numId w:val="3"/>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Learn to formulate historical arguments by marshaling and interpreting sources</w:t>
      </w:r>
    </w:p>
    <w:p w14:paraId="385B8040" w14:textId="77777777" w:rsidR="00A95227" w:rsidRDefault="00A95227" w:rsidP="00A95227">
      <w:pPr>
        <w:numPr>
          <w:ilvl w:val="0"/>
          <w:numId w:val="3"/>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Produce original scholarship grounded in extensive research</w:t>
      </w:r>
    </w:p>
    <w:p w14:paraId="2953DEBC" w14:textId="77777777" w:rsidR="00A95227" w:rsidRDefault="00A95227" w:rsidP="00A95227">
      <w:pPr>
        <w:rPr>
          <w:rFonts w:ascii="Garamond" w:eastAsia="Garamond" w:hAnsi="Garamond" w:cs="Garamond"/>
        </w:rPr>
      </w:pPr>
    </w:p>
    <w:p w14:paraId="119490B7" w14:textId="77777777" w:rsidR="00A95227" w:rsidRDefault="00A95227" w:rsidP="00A95227">
      <w:pPr>
        <w:widowControl w:val="0"/>
        <w:spacing w:after="240"/>
        <w:rPr>
          <w:rFonts w:ascii="Garamond" w:eastAsia="Garamond" w:hAnsi="Garamond" w:cs="Garamond"/>
          <w:b/>
        </w:rPr>
      </w:pPr>
      <w:r>
        <w:rPr>
          <w:rFonts w:ascii="Garamond" w:eastAsia="Garamond" w:hAnsi="Garamond" w:cs="Garamond"/>
          <w:b/>
        </w:rPr>
        <w:t>Course Materials:</w:t>
      </w:r>
    </w:p>
    <w:p w14:paraId="0B807BB9" w14:textId="77777777" w:rsidR="00A95227" w:rsidRDefault="00A95227" w:rsidP="00A95227">
      <w:pPr>
        <w:numPr>
          <w:ilvl w:val="0"/>
          <w:numId w:val="3"/>
        </w:numPr>
        <w:pBdr>
          <w:top w:val="nil"/>
          <w:left w:val="nil"/>
          <w:bottom w:val="nil"/>
          <w:right w:val="nil"/>
          <w:between w:val="nil"/>
        </w:pBdr>
        <w:rPr>
          <w:rFonts w:ascii="Garamond" w:eastAsia="Garamond" w:hAnsi="Garamond" w:cs="Garamond"/>
          <w:color w:val="000000"/>
        </w:rPr>
      </w:pPr>
      <w:r>
        <w:rPr>
          <w:rFonts w:ascii="Garamond" w:eastAsia="Garamond" w:hAnsi="Garamond" w:cs="Garamond"/>
          <w:i/>
          <w:color w:val="000000"/>
        </w:rPr>
        <w:t xml:space="preserve">Before Night Falls </w:t>
      </w:r>
      <w:r>
        <w:rPr>
          <w:rFonts w:ascii="Garamond" w:eastAsia="Garamond" w:hAnsi="Garamond" w:cs="Garamond"/>
          <w:color w:val="000000"/>
        </w:rPr>
        <w:t>by Reinaldo Arenas</w:t>
      </w:r>
    </w:p>
    <w:p w14:paraId="5B17275F" w14:textId="77777777" w:rsidR="00A95227" w:rsidRDefault="00A95227" w:rsidP="00A95227">
      <w:pPr>
        <w:numPr>
          <w:ilvl w:val="0"/>
          <w:numId w:val="3"/>
        </w:numPr>
        <w:pBdr>
          <w:top w:val="nil"/>
          <w:left w:val="nil"/>
          <w:bottom w:val="nil"/>
          <w:right w:val="nil"/>
          <w:between w:val="nil"/>
        </w:pBdr>
        <w:rPr>
          <w:rFonts w:ascii="Garamond" w:eastAsia="Garamond" w:hAnsi="Garamond" w:cs="Garamond"/>
          <w:color w:val="000000"/>
        </w:rPr>
      </w:pPr>
      <w:r>
        <w:rPr>
          <w:rFonts w:ascii="Garamond" w:eastAsia="Garamond" w:hAnsi="Garamond" w:cs="Garamond"/>
          <w:i/>
          <w:color w:val="000000"/>
        </w:rPr>
        <w:t xml:space="preserve">The Country Under My Skin: A Memoir of Love and War </w:t>
      </w:r>
      <w:r>
        <w:rPr>
          <w:rFonts w:ascii="Garamond" w:eastAsia="Garamond" w:hAnsi="Garamond" w:cs="Garamond"/>
          <w:color w:val="000000"/>
        </w:rPr>
        <w:t>by Gioconda Belli</w:t>
      </w:r>
    </w:p>
    <w:p w14:paraId="224E4613" w14:textId="77777777" w:rsidR="00A95227" w:rsidRDefault="00A95227" w:rsidP="00A95227">
      <w:pPr>
        <w:numPr>
          <w:ilvl w:val="0"/>
          <w:numId w:val="3"/>
        </w:numPr>
        <w:pBdr>
          <w:top w:val="nil"/>
          <w:left w:val="nil"/>
          <w:bottom w:val="nil"/>
          <w:right w:val="nil"/>
          <w:between w:val="nil"/>
        </w:pBdr>
        <w:rPr>
          <w:rFonts w:ascii="Garamond" w:eastAsia="Garamond" w:hAnsi="Garamond" w:cs="Garamond"/>
          <w:color w:val="000000"/>
        </w:rPr>
      </w:pPr>
      <w:r>
        <w:rPr>
          <w:rFonts w:ascii="Garamond" w:eastAsia="Garamond" w:hAnsi="Garamond" w:cs="Garamond"/>
          <w:i/>
          <w:color w:val="000000"/>
        </w:rPr>
        <w:t xml:space="preserve">Benedita da Silva: An Afro-Brazilian Woman’s Story of Politics and Love </w:t>
      </w:r>
      <w:r>
        <w:rPr>
          <w:rFonts w:ascii="Garamond" w:eastAsia="Garamond" w:hAnsi="Garamond" w:cs="Garamond"/>
          <w:color w:val="000000"/>
        </w:rPr>
        <w:t>by Benedita da Silva</w:t>
      </w:r>
    </w:p>
    <w:p w14:paraId="32FF5DA7" w14:textId="33BE54A1" w:rsidR="00A95227" w:rsidRDefault="00A95227" w:rsidP="00A95227">
      <w:pPr>
        <w:numPr>
          <w:ilvl w:val="0"/>
          <w:numId w:val="3"/>
        </w:numPr>
        <w:pBdr>
          <w:top w:val="nil"/>
          <w:left w:val="nil"/>
          <w:bottom w:val="nil"/>
          <w:right w:val="nil"/>
          <w:between w:val="nil"/>
        </w:pBdr>
        <w:rPr>
          <w:rFonts w:ascii="Garamond" w:eastAsia="Garamond" w:hAnsi="Garamond" w:cs="Garamond"/>
          <w:color w:val="000000"/>
          <w:lang w:val="it-IT"/>
        </w:rPr>
      </w:pPr>
      <w:r w:rsidRPr="00451B4B">
        <w:rPr>
          <w:rFonts w:ascii="Garamond" w:eastAsia="Garamond" w:hAnsi="Garamond" w:cs="Garamond"/>
          <w:i/>
          <w:color w:val="000000"/>
          <w:lang w:val="it-IT"/>
        </w:rPr>
        <w:t xml:space="preserve">I, Rigoberta </w:t>
      </w:r>
      <w:proofErr w:type="spellStart"/>
      <w:r w:rsidRPr="00451B4B">
        <w:rPr>
          <w:rFonts w:ascii="Garamond" w:eastAsia="Garamond" w:hAnsi="Garamond" w:cs="Garamond"/>
          <w:i/>
          <w:color w:val="000000"/>
          <w:lang w:val="it-IT"/>
        </w:rPr>
        <w:t>Menchú</w:t>
      </w:r>
      <w:proofErr w:type="spellEnd"/>
      <w:r w:rsidRPr="00451B4B">
        <w:rPr>
          <w:rFonts w:ascii="Garamond" w:eastAsia="Garamond" w:hAnsi="Garamond" w:cs="Garamond"/>
          <w:i/>
          <w:color w:val="000000"/>
          <w:lang w:val="it-IT"/>
        </w:rPr>
        <w:t xml:space="preserve"> </w:t>
      </w:r>
      <w:r w:rsidRPr="00451B4B">
        <w:rPr>
          <w:rFonts w:ascii="Garamond" w:eastAsia="Garamond" w:hAnsi="Garamond" w:cs="Garamond"/>
          <w:color w:val="000000"/>
          <w:lang w:val="it-IT"/>
        </w:rPr>
        <w:t xml:space="preserve">by Rigoberta </w:t>
      </w:r>
      <w:proofErr w:type="spellStart"/>
      <w:r w:rsidRPr="00451B4B">
        <w:rPr>
          <w:rFonts w:ascii="Garamond" w:eastAsia="Garamond" w:hAnsi="Garamond" w:cs="Garamond"/>
          <w:color w:val="000000"/>
          <w:lang w:val="it-IT"/>
        </w:rPr>
        <w:t>Menchú</w:t>
      </w:r>
      <w:proofErr w:type="spellEnd"/>
    </w:p>
    <w:p w14:paraId="43496302" w14:textId="77777777" w:rsidR="00086E13" w:rsidRPr="00086E13" w:rsidRDefault="00086E13" w:rsidP="00086E13">
      <w:pPr>
        <w:pBdr>
          <w:top w:val="nil"/>
          <w:left w:val="nil"/>
          <w:bottom w:val="nil"/>
          <w:right w:val="nil"/>
          <w:between w:val="nil"/>
        </w:pBdr>
        <w:ind w:left="720"/>
        <w:rPr>
          <w:rFonts w:ascii="Garamond" w:eastAsia="Garamond" w:hAnsi="Garamond" w:cs="Garamond"/>
          <w:color w:val="000000"/>
          <w:lang w:val="it-IT"/>
        </w:rPr>
      </w:pPr>
    </w:p>
    <w:p w14:paraId="09B88F23" w14:textId="77777777" w:rsidR="00A95227" w:rsidRPr="002739F1" w:rsidRDefault="00A95227" w:rsidP="00A95227">
      <w:pPr>
        <w:pBdr>
          <w:top w:val="nil"/>
          <w:left w:val="nil"/>
          <w:bottom w:val="nil"/>
          <w:right w:val="nil"/>
          <w:between w:val="nil"/>
        </w:pBdr>
        <w:rPr>
          <w:rFonts w:ascii="Garamond" w:eastAsia="Garamond" w:hAnsi="Garamond" w:cs="Garamond"/>
          <w:color w:val="000000"/>
        </w:rPr>
      </w:pPr>
      <w:r w:rsidRPr="002739F1">
        <w:rPr>
          <w:rFonts w:ascii="Garamond" w:eastAsia="Garamond" w:hAnsi="Garamond" w:cs="Garamond"/>
          <w:color w:val="000000"/>
        </w:rPr>
        <w:t>Note: Students are welcome to read these texts in their original languages where possible.</w:t>
      </w:r>
    </w:p>
    <w:p w14:paraId="0857DF6D" w14:textId="77777777" w:rsidR="00A95227" w:rsidRPr="002739F1" w:rsidRDefault="00A95227" w:rsidP="00A95227">
      <w:pPr>
        <w:pBdr>
          <w:top w:val="nil"/>
          <w:left w:val="nil"/>
          <w:bottom w:val="nil"/>
          <w:right w:val="nil"/>
          <w:between w:val="nil"/>
        </w:pBdr>
        <w:ind w:left="720"/>
        <w:rPr>
          <w:rFonts w:ascii="Garamond" w:eastAsia="Garamond" w:hAnsi="Garamond" w:cs="Garamond"/>
          <w:color w:val="000000"/>
        </w:rPr>
      </w:pPr>
    </w:p>
    <w:p w14:paraId="2E23046F" w14:textId="77777777" w:rsidR="00A95227" w:rsidRDefault="00A95227" w:rsidP="00A95227">
      <w:pPr>
        <w:rPr>
          <w:rFonts w:ascii="Garamond" w:eastAsia="Garamond" w:hAnsi="Garamond" w:cs="Garamond"/>
          <w:b/>
        </w:rPr>
      </w:pPr>
      <w:r>
        <w:rPr>
          <w:rFonts w:ascii="Garamond" w:eastAsia="Garamond" w:hAnsi="Garamond" w:cs="Garamond"/>
          <w:b/>
        </w:rPr>
        <w:t xml:space="preserve">Assignments: </w:t>
      </w:r>
    </w:p>
    <w:p w14:paraId="106DD3C5" w14:textId="77777777" w:rsidR="00A95227" w:rsidRDefault="00A95227" w:rsidP="00A95227">
      <w:pPr>
        <w:rPr>
          <w:rFonts w:ascii="Garamond" w:eastAsia="Garamond" w:hAnsi="Garamond" w:cs="Garamond"/>
          <w:b/>
        </w:rPr>
      </w:pPr>
    </w:p>
    <w:p w14:paraId="6061DDF1" w14:textId="77777777" w:rsidR="00A95227" w:rsidRDefault="00A95227" w:rsidP="00A95227">
      <w:pPr>
        <w:rPr>
          <w:rFonts w:ascii="Garamond" w:eastAsia="Garamond" w:hAnsi="Garamond" w:cs="Garamond"/>
        </w:rPr>
      </w:pPr>
      <w:r>
        <w:rPr>
          <w:rFonts w:ascii="Garamond" w:eastAsia="Garamond" w:hAnsi="Garamond" w:cs="Garamond"/>
        </w:rPr>
        <w:t>Grade Breakdown:</w:t>
      </w:r>
    </w:p>
    <w:p w14:paraId="258C5B4A" w14:textId="37A4ACD6" w:rsidR="00A95227" w:rsidRDefault="00A95227" w:rsidP="00A95227">
      <w:pPr>
        <w:rPr>
          <w:rFonts w:ascii="Garamond" w:eastAsia="Garamond" w:hAnsi="Garamond" w:cs="Garamond"/>
        </w:rPr>
      </w:pPr>
      <w:r>
        <w:rPr>
          <w:rFonts w:ascii="Garamond" w:eastAsia="Garamond" w:hAnsi="Garamond" w:cs="Garamond"/>
        </w:rPr>
        <w:t>Attendance</w:t>
      </w:r>
      <w:r w:rsidR="00AF6C9E">
        <w:rPr>
          <w:rFonts w:ascii="Garamond" w:eastAsia="Garamond" w:hAnsi="Garamond" w:cs="Garamond"/>
        </w:rPr>
        <w:t>: 10%</w:t>
      </w:r>
    </w:p>
    <w:p w14:paraId="395356B2" w14:textId="23BD3B31" w:rsidR="00AF6C9E" w:rsidRDefault="00AF6C9E" w:rsidP="00A95227">
      <w:pPr>
        <w:rPr>
          <w:rFonts w:ascii="Garamond" w:eastAsia="Garamond" w:hAnsi="Garamond" w:cs="Garamond"/>
        </w:rPr>
      </w:pPr>
      <w:r>
        <w:rPr>
          <w:rFonts w:ascii="Garamond" w:eastAsia="Garamond" w:hAnsi="Garamond" w:cs="Garamond"/>
        </w:rPr>
        <w:t>Participation: 10%</w:t>
      </w:r>
    </w:p>
    <w:p w14:paraId="1496FF93" w14:textId="77777777" w:rsidR="00A95227" w:rsidRDefault="00A95227" w:rsidP="00A95227">
      <w:pPr>
        <w:rPr>
          <w:rFonts w:ascii="Garamond" w:eastAsia="Garamond" w:hAnsi="Garamond" w:cs="Garamond"/>
        </w:rPr>
      </w:pPr>
      <w:r>
        <w:rPr>
          <w:rFonts w:ascii="Garamond" w:eastAsia="Garamond" w:hAnsi="Garamond" w:cs="Garamond"/>
        </w:rPr>
        <w:t>Reading responses: 20%</w:t>
      </w:r>
    </w:p>
    <w:p w14:paraId="7FD76E22" w14:textId="77777777" w:rsidR="00A95227" w:rsidRDefault="00A95227" w:rsidP="00A95227">
      <w:pPr>
        <w:rPr>
          <w:rFonts w:ascii="Garamond" w:eastAsia="Garamond" w:hAnsi="Garamond" w:cs="Garamond"/>
        </w:rPr>
      </w:pPr>
      <w:r>
        <w:rPr>
          <w:rFonts w:ascii="Garamond" w:eastAsia="Garamond" w:hAnsi="Garamond" w:cs="Garamond"/>
        </w:rPr>
        <w:t>Primary source analysis paper: 20%</w:t>
      </w:r>
    </w:p>
    <w:p w14:paraId="06A9165A" w14:textId="77777777" w:rsidR="00A95227" w:rsidRDefault="00A95227" w:rsidP="00A95227">
      <w:pPr>
        <w:rPr>
          <w:rFonts w:ascii="Garamond" w:eastAsia="Garamond" w:hAnsi="Garamond" w:cs="Garamond"/>
        </w:rPr>
      </w:pPr>
      <w:r>
        <w:rPr>
          <w:rFonts w:ascii="Garamond" w:eastAsia="Garamond" w:hAnsi="Garamond" w:cs="Garamond"/>
        </w:rPr>
        <w:t>Annotated bibliography and paper proposal: 10%</w:t>
      </w:r>
    </w:p>
    <w:p w14:paraId="1FCB21E3" w14:textId="77777777" w:rsidR="00A95227" w:rsidRDefault="00A95227" w:rsidP="00A95227">
      <w:pPr>
        <w:rPr>
          <w:rFonts w:ascii="Garamond" w:eastAsia="Garamond" w:hAnsi="Garamond" w:cs="Garamond"/>
        </w:rPr>
      </w:pPr>
      <w:r>
        <w:rPr>
          <w:rFonts w:ascii="Garamond" w:eastAsia="Garamond" w:hAnsi="Garamond" w:cs="Garamond"/>
        </w:rPr>
        <w:t>Final Paper: 30%</w:t>
      </w:r>
    </w:p>
    <w:p w14:paraId="4EDFB4DD" w14:textId="77777777" w:rsidR="00A95227" w:rsidRDefault="00A95227" w:rsidP="00A95227">
      <w:pPr>
        <w:rPr>
          <w:rFonts w:ascii="Garamond" w:eastAsia="Garamond" w:hAnsi="Garamond" w:cs="Garamond"/>
        </w:rPr>
      </w:pPr>
    </w:p>
    <w:p w14:paraId="772A7359" w14:textId="77777777" w:rsidR="00A95227" w:rsidRDefault="00A95227" w:rsidP="00A95227">
      <w:pPr>
        <w:rPr>
          <w:rFonts w:ascii="Garamond" w:eastAsia="Garamond" w:hAnsi="Garamond" w:cs="Garamond"/>
        </w:rPr>
      </w:pPr>
      <w:r>
        <w:rPr>
          <w:rFonts w:ascii="Garamond" w:eastAsia="Garamond" w:hAnsi="Garamond" w:cs="Garamond"/>
        </w:rPr>
        <w:t xml:space="preserve">Attendance and participation in discussion (20%): Please come to class having read the assigned texts and ready to participate in group discussions. If you are unable to read a particular text in a comprehensive manner, try to at least distill its main arguments. If helpful to you, prepare a list of questions in advance of each class so that our discussion will proceed dynamically. I encourage lively, rigorous debate but I ask that you engage with your peers and with me in a respectful manner. Unexcused absences will negatively affect your participation grade.  </w:t>
      </w:r>
    </w:p>
    <w:p w14:paraId="32982135" w14:textId="77777777" w:rsidR="00A95227" w:rsidRPr="00447A11" w:rsidRDefault="00A95227" w:rsidP="00A95227">
      <w:pPr>
        <w:pStyle w:val="ListParagraph"/>
        <w:numPr>
          <w:ilvl w:val="0"/>
          <w:numId w:val="3"/>
        </w:numPr>
        <w:rPr>
          <w:rFonts w:ascii="Garamond" w:eastAsia="Garamond" w:hAnsi="Garamond" w:cs="Garamond"/>
        </w:rPr>
      </w:pPr>
      <w:r>
        <w:rPr>
          <w:rFonts w:ascii="Garamond" w:eastAsia="Garamond" w:hAnsi="Garamond" w:cs="Garamond"/>
        </w:rPr>
        <w:t xml:space="preserve">Attendance and absence policy: If you have to miss class, I ask that you email me to notify me of your absence and make every effort to come to office hours to make up the missed material. Multiple unexcused absences will adversely affect your participation grade. </w:t>
      </w:r>
      <w:r w:rsidRPr="00961FCB">
        <w:rPr>
          <w:rFonts w:ascii="Garamond" w:hAnsi="Garamond"/>
        </w:rPr>
        <w:t>Otherwise, requirements for class attendance and make-up exams, assignments, and other work in this course are consistent with university policies</w:t>
      </w:r>
      <w:r>
        <w:rPr>
          <w:rFonts w:ascii="Garamond" w:hAnsi="Garamond"/>
        </w:rPr>
        <w:t xml:space="preserve">: </w:t>
      </w:r>
      <w:hyperlink r:id="rId6" w:history="1">
        <w:r w:rsidRPr="00BE6684">
          <w:rPr>
            <w:rStyle w:val="Hyperlink"/>
            <w:rFonts w:ascii="Garamond" w:hAnsi="Garamond"/>
          </w:rPr>
          <w:t>https://catalog.ufl.edu/UGRD/academic-regulations/attendance-policies/</w:t>
        </w:r>
      </w:hyperlink>
    </w:p>
    <w:p w14:paraId="113EBC1C" w14:textId="77777777" w:rsidR="00A95227" w:rsidRPr="00447A11" w:rsidRDefault="00A95227" w:rsidP="00A95227">
      <w:pPr>
        <w:pStyle w:val="ListParagraph"/>
        <w:numPr>
          <w:ilvl w:val="0"/>
          <w:numId w:val="3"/>
        </w:numPr>
        <w:rPr>
          <w:rFonts w:ascii="Garamond" w:eastAsia="Garamond" w:hAnsi="Garamond" w:cs="Garamond"/>
        </w:rPr>
      </w:pPr>
      <w:r>
        <w:rPr>
          <w:rFonts w:ascii="Garamond" w:hAnsi="Garamond"/>
        </w:rPr>
        <w:t>I ask that you make every effort to arrive on time to class, so we can take full advantage of the limited time we have together as a course. Regular tardiness will adversely affect your participation grade</w:t>
      </w:r>
    </w:p>
    <w:p w14:paraId="2EC32716" w14:textId="77777777" w:rsidR="00A95227" w:rsidRPr="00961FCB" w:rsidRDefault="00A95227" w:rsidP="00A95227">
      <w:pPr>
        <w:pStyle w:val="ListParagraph"/>
        <w:numPr>
          <w:ilvl w:val="0"/>
          <w:numId w:val="3"/>
        </w:numPr>
        <w:rPr>
          <w:rFonts w:ascii="Garamond" w:eastAsia="Garamond" w:hAnsi="Garamond" w:cs="Garamond"/>
        </w:rPr>
      </w:pPr>
      <w:r>
        <w:rPr>
          <w:rFonts w:ascii="Garamond" w:hAnsi="Garamond"/>
        </w:rPr>
        <w:t>I ask that you refrain from texting, chatting, or using your computers for tasks not related to our course during class time. Phones should be kept out of sight for the duration of the class.</w:t>
      </w:r>
    </w:p>
    <w:p w14:paraId="0FBF3137" w14:textId="77777777" w:rsidR="00A95227" w:rsidRDefault="00A95227" w:rsidP="00A95227">
      <w:pPr>
        <w:rPr>
          <w:rFonts w:ascii="Garamond" w:eastAsia="Garamond" w:hAnsi="Garamond" w:cs="Garamond"/>
        </w:rPr>
      </w:pPr>
    </w:p>
    <w:p w14:paraId="34CFC3A1" w14:textId="77777777" w:rsidR="00A95227" w:rsidRDefault="00A95227" w:rsidP="00A95227">
      <w:pPr>
        <w:rPr>
          <w:rFonts w:ascii="Garamond" w:eastAsia="Garamond" w:hAnsi="Garamond" w:cs="Garamond"/>
          <w:b/>
        </w:rPr>
      </w:pPr>
      <w:r>
        <w:rPr>
          <w:rFonts w:ascii="Garamond" w:eastAsia="Garamond" w:hAnsi="Garamond" w:cs="Garamond"/>
        </w:rPr>
        <w:lastRenderedPageBreak/>
        <w:t xml:space="preserve">Reading responses (20%): Over the course of the semester, students must write </w:t>
      </w:r>
      <w:r>
        <w:rPr>
          <w:rFonts w:ascii="Garamond" w:eastAsia="Garamond" w:hAnsi="Garamond" w:cs="Garamond"/>
          <w:b/>
        </w:rPr>
        <w:t>six</w:t>
      </w:r>
      <w:r>
        <w:rPr>
          <w:rFonts w:ascii="Garamond" w:eastAsia="Garamond" w:hAnsi="Garamond" w:cs="Garamond"/>
        </w:rPr>
        <w:t xml:space="preserve"> one-page response papers in dialogue with the assigned readings for the week. These papers should prepare you for our weekly discussions and should not merely summarize the readings but rather place them in conversation with one another and with readings from previous weeks. Be sure to engage with the texts themselves in a rigorous manner, but your writing can remain fairly informal.</w:t>
      </w:r>
      <w:r>
        <w:rPr>
          <w:rFonts w:ascii="Garamond" w:eastAsia="Garamond" w:hAnsi="Garamond" w:cs="Garamond"/>
          <w:b/>
        </w:rPr>
        <w:t xml:space="preserve"> </w:t>
      </w:r>
      <w:r>
        <w:rPr>
          <w:rFonts w:ascii="Garamond" w:eastAsia="Garamond" w:hAnsi="Garamond" w:cs="Garamond"/>
        </w:rPr>
        <w:t xml:space="preserve">You may choose when to write your response papers (you can alternate weeks to evenly distribute the workload over the semester or focus on the six units that interest you most; it is up to you), but please keep track of how many you have written. Papers will be due at 10am on the Monday morning before class. At the end of the semester, each missing paper will incur a penalty of 3% off your total grade. </w:t>
      </w:r>
      <w:r>
        <w:rPr>
          <w:rFonts w:ascii="Garamond" w:eastAsia="Garamond" w:hAnsi="Garamond" w:cs="Garamond"/>
          <w:b/>
        </w:rPr>
        <w:t>Please do not exceed one page, double-spaced for each paper.</w:t>
      </w:r>
    </w:p>
    <w:p w14:paraId="2190B741" w14:textId="77777777" w:rsidR="00A95227" w:rsidRDefault="00A95227" w:rsidP="00A95227">
      <w:pPr>
        <w:rPr>
          <w:rFonts w:ascii="Garamond" w:eastAsia="Garamond" w:hAnsi="Garamond" w:cs="Garamond"/>
          <w:b/>
        </w:rPr>
      </w:pPr>
    </w:p>
    <w:p w14:paraId="47D30231" w14:textId="77777777" w:rsidR="00A95227" w:rsidRDefault="00A95227" w:rsidP="00A95227">
      <w:pPr>
        <w:rPr>
          <w:rFonts w:ascii="Garamond" w:eastAsia="Garamond" w:hAnsi="Garamond" w:cs="Garamond"/>
        </w:rPr>
      </w:pPr>
      <w:r>
        <w:rPr>
          <w:rFonts w:ascii="Garamond" w:eastAsia="Garamond" w:hAnsi="Garamond" w:cs="Garamond"/>
        </w:rPr>
        <w:t xml:space="preserve">Primary source analysis paper (20%): Mid-way through the semester, students will be asked to write a short paper (4-5 pages) that engages with one or more </w:t>
      </w:r>
      <w:r>
        <w:rPr>
          <w:rFonts w:ascii="Garamond" w:eastAsia="Garamond" w:hAnsi="Garamond" w:cs="Garamond"/>
          <w:b/>
        </w:rPr>
        <w:t>primary sources</w:t>
      </w:r>
      <w:r>
        <w:rPr>
          <w:rFonts w:ascii="Garamond" w:eastAsia="Garamond" w:hAnsi="Garamond" w:cs="Garamond"/>
        </w:rPr>
        <w:t xml:space="preserve">. A primary source is defined as a first-hand account of an event or topic, generally authored or recorded by someone who directly experienced it. Secondary sources, on the other hand, are documents created by someone, often a scholar, who was not present for a particular event but who analyzes or interprets it. Examples of primary sources include: letters/correspondence, historical documentation, contemporaneous press coverage, memoirs/autobiographies, oral testimonies/interviews, diaries, historical film footage, speeches, etc. Each week, we will complement our assigned readings of secondary sources with analysis of primary sources in class. This paper will continue the analytical work we start in class and is intended to prepare you to analyze primary sources at the service of furthering an historical argument in your final research paper. In this paper, you do not have to formulate a historical argument, but you should address a number of questions relating to the source(s), including but not limited to: authorship, mediation, language/style, intended audience/effect, influences, political context, and aesthetics (in the case of visual art, photographs, music, performance, protest signage, </w:t>
      </w:r>
      <w:proofErr w:type="spellStart"/>
      <w:r>
        <w:rPr>
          <w:rFonts w:ascii="Garamond" w:eastAsia="Garamond" w:hAnsi="Garamond" w:cs="Garamond"/>
        </w:rPr>
        <w:t>etc</w:t>
      </w:r>
      <w:proofErr w:type="spellEnd"/>
      <w:r>
        <w:rPr>
          <w:rFonts w:ascii="Garamond" w:eastAsia="Garamond" w:hAnsi="Garamond" w:cs="Garamond"/>
        </w:rPr>
        <w:t xml:space="preserve">). Considering primary sources through multidimensional analysis is the bread and butter of the work that historians do to make sense of the past. While I am not requiring you to come up with a specific argument in this short paper (think of it more as an exercise to practice source analysis that you will then develop in your final paper), it should set you up to venture some broader conclusions about the nature and impact of your source. For this assignment, I will provide a folder on Canvas with sources that pertain to the topics we cover in the course. </w:t>
      </w:r>
    </w:p>
    <w:p w14:paraId="0507F9E1" w14:textId="77777777" w:rsidR="00A95227" w:rsidRDefault="00A95227" w:rsidP="00A95227">
      <w:pPr>
        <w:rPr>
          <w:rFonts w:ascii="Garamond" w:eastAsia="Garamond" w:hAnsi="Garamond" w:cs="Garamond"/>
        </w:rPr>
      </w:pPr>
    </w:p>
    <w:p w14:paraId="1E09EBAE" w14:textId="77777777" w:rsidR="00A95227" w:rsidRDefault="00A95227" w:rsidP="00A95227">
      <w:pPr>
        <w:rPr>
          <w:rFonts w:ascii="Garamond" w:eastAsia="Garamond" w:hAnsi="Garamond" w:cs="Garamond"/>
          <w:b/>
        </w:rPr>
      </w:pPr>
      <w:r>
        <w:rPr>
          <w:rFonts w:ascii="Garamond" w:eastAsia="Garamond" w:hAnsi="Garamond" w:cs="Garamond"/>
        </w:rPr>
        <w:t xml:space="preserve">Annotated bibliography (5%) and paper proposal (5%): These assignments are designed to help you advance your final research papers well before the end of the semester. A template for the annotated bibliography will be distributed in class. Paper proposal should be </w:t>
      </w:r>
      <w:r>
        <w:rPr>
          <w:rFonts w:ascii="Garamond" w:eastAsia="Garamond" w:hAnsi="Garamond" w:cs="Garamond"/>
          <w:b/>
        </w:rPr>
        <w:t>2-3 pages</w:t>
      </w:r>
      <w:r>
        <w:rPr>
          <w:rFonts w:ascii="Garamond" w:eastAsia="Garamond" w:hAnsi="Garamond" w:cs="Garamond"/>
        </w:rPr>
        <w:t xml:space="preserve"> and include your main research questions, hypothesized findings, source materials (both primary and secondary), and engagement with the existing literature on your topic. </w:t>
      </w:r>
    </w:p>
    <w:p w14:paraId="7DA33BDD" w14:textId="77777777" w:rsidR="00A95227" w:rsidRDefault="00A95227" w:rsidP="00A95227">
      <w:pPr>
        <w:rPr>
          <w:rFonts w:ascii="Garamond" w:eastAsia="Garamond" w:hAnsi="Garamond" w:cs="Garamond"/>
        </w:rPr>
      </w:pPr>
    </w:p>
    <w:p w14:paraId="7A3C7C53" w14:textId="77777777" w:rsidR="00A95227" w:rsidRDefault="00A95227" w:rsidP="00A95227">
      <w:pPr>
        <w:rPr>
          <w:rFonts w:ascii="Garamond" w:eastAsia="Garamond" w:hAnsi="Garamond" w:cs="Garamond"/>
        </w:rPr>
      </w:pPr>
      <w:r>
        <w:rPr>
          <w:rFonts w:ascii="Garamond" w:eastAsia="Garamond" w:hAnsi="Garamond" w:cs="Garamond"/>
        </w:rPr>
        <w:t xml:space="preserve">Final Paper (30%): Each student will be expected to produce a final research paper of 12-15 pages for undergraduates and 15-20 pages for graduate students that articulates a particular historical argument by using evidence from primary sources. The topic must touch on the themes of the course and engage the methodological concerns discussed in class. </w:t>
      </w:r>
    </w:p>
    <w:p w14:paraId="7D7A83B2" w14:textId="77777777" w:rsidR="00A95227" w:rsidRDefault="00A95227" w:rsidP="00A95227">
      <w:pPr>
        <w:rPr>
          <w:rFonts w:ascii="Garamond" w:eastAsia="Garamond" w:hAnsi="Garamond" w:cs="Garamond"/>
        </w:rPr>
      </w:pPr>
    </w:p>
    <w:p w14:paraId="601B3421" w14:textId="77777777" w:rsidR="00A95227" w:rsidRPr="00961FCB" w:rsidRDefault="00A95227" w:rsidP="00A95227">
      <w:pPr>
        <w:pStyle w:val="xmsonormal"/>
        <w:shd w:val="clear" w:color="auto" w:fill="FFFFFF"/>
        <w:spacing w:before="0" w:beforeAutospacing="0" w:after="0" w:afterAutospacing="0"/>
        <w:rPr>
          <w:rFonts w:ascii="Garamond" w:hAnsi="Garamond"/>
          <w:color w:val="242424"/>
          <w:sz w:val="22"/>
          <w:szCs w:val="22"/>
        </w:rPr>
      </w:pPr>
      <w:r w:rsidRPr="00447A11">
        <w:rPr>
          <w:rFonts w:ascii="Garamond" w:eastAsia="Garamond" w:hAnsi="Garamond" w:cs="Garamond"/>
          <w:b/>
          <w:bCs/>
        </w:rPr>
        <w:t>Note:</w:t>
      </w:r>
      <w:r w:rsidRPr="00961FCB">
        <w:rPr>
          <w:rFonts w:ascii="Garamond" w:eastAsia="Garamond" w:hAnsi="Garamond" w:cs="Garamond"/>
        </w:rPr>
        <w:t xml:space="preserve"> </w:t>
      </w:r>
      <w:r w:rsidRPr="00961FCB">
        <w:rPr>
          <w:rFonts w:ascii="Garamond" w:hAnsi="Garamond"/>
          <w:color w:val="000000"/>
          <w:bdr w:val="none" w:sz="0" w:space="0" w:color="auto" w:frame="1"/>
        </w:rPr>
        <w:t xml:space="preserve">This course </w:t>
      </w:r>
      <w:r>
        <w:rPr>
          <w:rFonts w:ascii="Garamond" w:hAnsi="Garamond"/>
          <w:color w:val="000000"/>
          <w:bdr w:val="none" w:sz="0" w:space="0" w:color="auto" w:frame="1"/>
        </w:rPr>
        <w:t>will count</w:t>
      </w:r>
      <w:r w:rsidRPr="00961FCB">
        <w:rPr>
          <w:rFonts w:ascii="Garamond" w:hAnsi="Garamond"/>
          <w:color w:val="000000"/>
          <w:bdr w:val="none" w:sz="0" w:space="0" w:color="auto" w:frame="1"/>
        </w:rPr>
        <w:t xml:space="preserve"> towards the minor/certificate in Latin American Studies.</w:t>
      </w:r>
    </w:p>
    <w:p w14:paraId="0EABC88F" w14:textId="20A86705" w:rsidR="00A95227" w:rsidRDefault="00A95227" w:rsidP="00A95227">
      <w:pPr>
        <w:pStyle w:val="xmsonormal"/>
        <w:shd w:val="clear" w:color="auto" w:fill="FFFFFF"/>
        <w:spacing w:before="0" w:beforeAutospacing="0" w:after="0" w:afterAutospacing="0"/>
        <w:rPr>
          <w:rFonts w:ascii="Garamond" w:hAnsi="Garamond"/>
          <w:color w:val="000000"/>
          <w:bdr w:val="none" w:sz="0" w:space="0" w:color="auto" w:frame="1"/>
        </w:rPr>
      </w:pPr>
      <w:r w:rsidRPr="00961FCB">
        <w:rPr>
          <w:rFonts w:ascii="Garamond" w:hAnsi="Garamond"/>
          <w:color w:val="000000"/>
          <w:bdr w:val="none" w:sz="0" w:space="0" w:color="auto" w:frame="1"/>
        </w:rPr>
        <w:t>For more information about enrollment in the </w:t>
      </w:r>
      <w:r w:rsidRPr="00961FCB">
        <w:rPr>
          <w:rFonts w:ascii="Garamond" w:hAnsi="Garamond"/>
          <w:b/>
          <w:bCs/>
          <w:color w:val="000000"/>
          <w:bdr w:val="none" w:sz="0" w:space="0" w:color="auto" w:frame="1"/>
        </w:rPr>
        <w:t>undergraduat</w:t>
      </w:r>
      <w:r w:rsidR="00383D98">
        <w:rPr>
          <w:rFonts w:ascii="Garamond" w:hAnsi="Garamond"/>
          <w:b/>
          <w:bCs/>
          <w:color w:val="000000"/>
          <w:bdr w:val="none" w:sz="0" w:space="0" w:color="auto" w:frame="1"/>
        </w:rPr>
        <w:t xml:space="preserve">e and graduate </w:t>
      </w:r>
      <w:r w:rsidRPr="00961FCB">
        <w:rPr>
          <w:rFonts w:ascii="Garamond" w:hAnsi="Garamond"/>
          <w:color w:val="000000"/>
          <w:bdr w:val="none" w:sz="0" w:space="0" w:color="auto" w:frame="1"/>
        </w:rPr>
        <w:t>programs offered by the Center for Latin American Studies</w:t>
      </w:r>
      <w:r>
        <w:rPr>
          <w:rFonts w:ascii="Garamond" w:hAnsi="Garamond"/>
          <w:color w:val="000000"/>
          <w:bdr w:val="none" w:sz="0" w:space="0" w:color="auto" w:frame="1"/>
        </w:rPr>
        <w:t xml:space="preserve">, contact coordinator Luis Felipe Gómez </w:t>
      </w:r>
      <w:proofErr w:type="spellStart"/>
      <w:r>
        <w:rPr>
          <w:rFonts w:ascii="Garamond" w:hAnsi="Garamond"/>
          <w:color w:val="000000"/>
          <w:bdr w:val="none" w:sz="0" w:space="0" w:color="auto" w:frame="1"/>
        </w:rPr>
        <w:t>Lomelí</w:t>
      </w:r>
      <w:proofErr w:type="spellEnd"/>
      <w:r w:rsidR="00383D98">
        <w:rPr>
          <w:rFonts w:ascii="Garamond" w:hAnsi="Garamond"/>
          <w:color w:val="000000"/>
          <w:bdr w:val="none" w:sz="0" w:space="0" w:color="auto" w:frame="1"/>
        </w:rPr>
        <w:t xml:space="preserve"> (</w:t>
      </w:r>
      <w:hyperlink r:id="rId7" w:history="1">
        <w:r w:rsidR="00383D98" w:rsidRPr="001827BE">
          <w:rPr>
            <w:rStyle w:val="Hyperlink"/>
            <w:rFonts w:ascii="Garamond" w:hAnsi="Garamond"/>
            <w:bdr w:val="none" w:sz="0" w:space="0" w:color="auto" w:frame="1"/>
          </w:rPr>
          <w:t>luisgomezlomeli@ufl.edu</w:t>
        </w:r>
      </w:hyperlink>
      <w:r w:rsidR="00383D98">
        <w:rPr>
          <w:rFonts w:ascii="Garamond" w:hAnsi="Garamond"/>
          <w:color w:val="000000"/>
          <w:bdr w:val="none" w:sz="0" w:space="0" w:color="auto" w:frame="1"/>
        </w:rPr>
        <w:t>).</w:t>
      </w:r>
    </w:p>
    <w:p w14:paraId="6F39BF02" w14:textId="77777777" w:rsidR="00A95227" w:rsidRDefault="00A95227" w:rsidP="00A95227">
      <w:pPr>
        <w:pStyle w:val="xmsonormal"/>
        <w:shd w:val="clear" w:color="auto" w:fill="FFFFFF"/>
        <w:spacing w:before="0" w:beforeAutospacing="0" w:after="0" w:afterAutospacing="0"/>
        <w:rPr>
          <w:rFonts w:ascii="Garamond" w:hAnsi="Garamond"/>
          <w:color w:val="000000"/>
          <w:bdr w:val="none" w:sz="0" w:space="0" w:color="auto" w:frame="1"/>
        </w:rPr>
      </w:pPr>
    </w:p>
    <w:p w14:paraId="15619E40" w14:textId="77777777" w:rsidR="00A95227" w:rsidRDefault="00A95227" w:rsidP="00A95227">
      <w:pPr>
        <w:pStyle w:val="xmsonormal"/>
        <w:shd w:val="clear" w:color="auto" w:fill="FFFFFF"/>
        <w:spacing w:before="0" w:beforeAutospacing="0" w:after="0" w:afterAutospacing="0"/>
        <w:rPr>
          <w:rFonts w:ascii="Garamond" w:hAnsi="Garamond"/>
          <w:color w:val="000000"/>
          <w:bdr w:val="none" w:sz="0" w:space="0" w:color="auto" w:frame="1"/>
        </w:rPr>
      </w:pPr>
      <w:r w:rsidRPr="00447A11">
        <w:rPr>
          <w:rFonts w:ascii="Garamond" w:hAnsi="Garamond"/>
          <w:b/>
          <w:bCs/>
          <w:color w:val="000000"/>
          <w:bdr w:val="none" w:sz="0" w:space="0" w:color="auto" w:frame="1"/>
        </w:rPr>
        <w:t>Extension policy:</w:t>
      </w:r>
      <w:r>
        <w:rPr>
          <w:rFonts w:ascii="Garamond" w:hAnsi="Garamond"/>
          <w:color w:val="000000"/>
          <w:bdr w:val="none" w:sz="0" w:space="0" w:color="auto" w:frame="1"/>
        </w:rPr>
        <w:t xml:space="preserve"> I will grant extensions of up to three days if requested in writing. If extenuating circumstances require a lengthier extension, please contact me and we can work out an alternate submission date. </w:t>
      </w:r>
    </w:p>
    <w:p w14:paraId="5D00ADBA" w14:textId="77777777" w:rsidR="00A95227" w:rsidRDefault="00A95227" w:rsidP="00A95227">
      <w:pPr>
        <w:pStyle w:val="xmsonormal"/>
        <w:shd w:val="clear" w:color="auto" w:fill="FFFFFF"/>
        <w:spacing w:before="0" w:beforeAutospacing="0" w:after="0" w:afterAutospacing="0"/>
        <w:rPr>
          <w:rFonts w:ascii="Garamond" w:hAnsi="Garamond"/>
          <w:color w:val="000000"/>
          <w:bdr w:val="none" w:sz="0" w:space="0" w:color="auto" w:frame="1"/>
        </w:rPr>
      </w:pPr>
    </w:p>
    <w:p w14:paraId="7E15A669" w14:textId="77777777" w:rsidR="00A95227" w:rsidRDefault="00A95227" w:rsidP="00A95227">
      <w:pPr>
        <w:pStyle w:val="xmsonormal"/>
        <w:shd w:val="clear" w:color="auto" w:fill="FFFFFF"/>
        <w:spacing w:before="0" w:beforeAutospacing="0" w:after="0" w:afterAutospacing="0"/>
        <w:rPr>
          <w:rFonts w:ascii="Garamond" w:hAnsi="Garamond"/>
        </w:rPr>
      </w:pPr>
      <w:r w:rsidRPr="00447A11">
        <w:rPr>
          <w:rFonts w:ascii="Garamond" w:hAnsi="Garamond"/>
          <w:b/>
          <w:bCs/>
          <w:color w:val="000000"/>
          <w:bdr w:val="none" w:sz="0" w:space="0" w:color="auto" w:frame="1"/>
        </w:rPr>
        <w:t>Students with disabilities:</w:t>
      </w:r>
      <w:r>
        <w:rPr>
          <w:rFonts w:ascii="Garamond" w:hAnsi="Garamond"/>
          <w:color w:val="000000"/>
          <w:bdr w:val="none" w:sz="0" w:space="0" w:color="auto" w:frame="1"/>
        </w:rPr>
        <w:t xml:space="preserve"> </w:t>
      </w:r>
      <w:r w:rsidRPr="00961FCB">
        <w:rPr>
          <w:rFonts w:ascii="Garamond" w:hAnsi="Garamond"/>
        </w:rPr>
        <w:t xml:space="preserve">Students with disabilities who experience learning barriers and would like to request academic accommodations should connect with the </w:t>
      </w:r>
      <w:r>
        <w:rPr>
          <w:rFonts w:ascii="Garamond" w:hAnsi="Garamond"/>
        </w:rPr>
        <w:t>D</w:t>
      </w:r>
      <w:r w:rsidRPr="00961FCB">
        <w:rPr>
          <w:rFonts w:ascii="Garamond" w:hAnsi="Garamond"/>
        </w:rPr>
        <w:t>isability Resource Center</w:t>
      </w:r>
      <w:r>
        <w:rPr>
          <w:rFonts w:ascii="Garamond" w:hAnsi="Garamond"/>
        </w:rPr>
        <w:t xml:space="preserve"> (DRC): </w:t>
      </w:r>
      <w:hyperlink r:id="rId8" w:history="1">
        <w:r w:rsidRPr="00BE6684">
          <w:rPr>
            <w:rStyle w:val="Hyperlink"/>
            <w:rFonts w:ascii="Garamond" w:hAnsi="Garamond"/>
          </w:rPr>
          <w:t>https://disability.ufl.edu/get-started/</w:t>
        </w:r>
      </w:hyperlink>
      <w:r>
        <w:rPr>
          <w:rFonts w:ascii="Garamond" w:hAnsi="Garamond"/>
        </w:rPr>
        <w:t xml:space="preserve"> I ask that</w:t>
      </w:r>
      <w:r w:rsidRPr="00961FCB">
        <w:rPr>
          <w:rFonts w:ascii="Garamond" w:hAnsi="Garamond"/>
        </w:rPr>
        <w:t xml:space="preserve"> students share their accommodation letter with </w:t>
      </w:r>
      <w:r>
        <w:rPr>
          <w:rFonts w:ascii="Garamond" w:hAnsi="Garamond"/>
        </w:rPr>
        <w:t>me</w:t>
      </w:r>
      <w:r w:rsidRPr="00961FCB">
        <w:rPr>
          <w:rFonts w:ascii="Garamond" w:hAnsi="Garamond"/>
        </w:rPr>
        <w:t xml:space="preserve"> and </w:t>
      </w:r>
      <w:r>
        <w:rPr>
          <w:rFonts w:ascii="Garamond" w:hAnsi="Garamond"/>
        </w:rPr>
        <w:t xml:space="preserve">reach out to </w:t>
      </w:r>
      <w:r w:rsidRPr="00961FCB">
        <w:rPr>
          <w:rFonts w:ascii="Garamond" w:hAnsi="Garamond"/>
        </w:rPr>
        <w:t>discuss access needs as early as possible in the semester.</w:t>
      </w:r>
    </w:p>
    <w:p w14:paraId="1F9E154A" w14:textId="77777777" w:rsidR="00A95227" w:rsidRDefault="00A95227" w:rsidP="00A95227">
      <w:pPr>
        <w:pStyle w:val="xmsonormal"/>
        <w:shd w:val="clear" w:color="auto" w:fill="FFFFFF"/>
        <w:spacing w:before="0" w:beforeAutospacing="0" w:after="0" w:afterAutospacing="0"/>
        <w:rPr>
          <w:rFonts w:ascii="Garamond" w:hAnsi="Garamond"/>
        </w:rPr>
      </w:pPr>
    </w:p>
    <w:p w14:paraId="0EA37733" w14:textId="77777777" w:rsidR="00A95227" w:rsidRDefault="00A95227" w:rsidP="00A95227">
      <w:pPr>
        <w:pStyle w:val="xmsonormal"/>
        <w:shd w:val="clear" w:color="auto" w:fill="FFFFFF"/>
        <w:spacing w:before="0" w:beforeAutospacing="0" w:after="0" w:afterAutospacing="0"/>
        <w:rPr>
          <w:rFonts w:ascii="Garamond" w:hAnsi="Garamond"/>
        </w:rPr>
      </w:pPr>
      <w:r w:rsidRPr="00447A11">
        <w:rPr>
          <w:rFonts w:ascii="Garamond" w:hAnsi="Garamond"/>
          <w:b/>
          <w:bCs/>
        </w:rPr>
        <w:t>Evaluations</w:t>
      </w:r>
      <w:r w:rsidRPr="00447A11">
        <w:rPr>
          <w:rFonts w:ascii="Garamond" w:hAnsi="Garamond"/>
        </w:rPr>
        <w:t xml:space="preserve">: Students are expected to provide professional and respectful feedback on the quality of instruction in this course by completing course evaluations online via </w:t>
      </w:r>
      <w:proofErr w:type="spellStart"/>
      <w:r w:rsidRPr="00447A11">
        <w:rPr>
          <w:rFonts w:ascii="Garamond" w:hAnsi="Garamond"/>
        </w:rPr>
        <w:t>GatorEvals</w:t>
      </w:r>
      <w:proofErr w:type="spellEnd"/>
      <w:r>
        <w:rPr>
          <w:rFonts w:ascii="Garamond" w:hAnsi="Garamond"/>
        </w:rPr>
        <w:t xml:space="preserve"> at the end of the semester</w:t>
      </w:r>
      <w:r w:rsidRPr="00447A11">
        <w:rPr>
          <w:rFonts w:ascii="Garamond" w:hAnsi="Garamond"/>
        </w:rPr>
        <w:t xml:space="preserve">. Guidance on how to give feedback in a professional and respectful manner is available at </w:t>
      </w:r>
      <w:hyperlink r:id="rId9" w:history="1">
        <w:r w:rsidRPr="00BE6684">
          <w:rPr>
            <w:rStyle w:val="Hyperlink"/>
            <w:rFonts w:ascii="Garamond" w:hAnsi="Garamond"/>
          </w:rPr>
          <w:t>https://gatorevals.aa.ufl.edu/students/</w:t>
        </w:r>
      </w:hyperlink>
      <w:r>
        <w:rPr>
          <w:rFonts w:ascii="Garamond" w:hAnsi="Garamond"/>
        </w:rPr>
        <w:t>.</w:t>
      </w:r>
      <w:r w:rsidRPr="00447A11">
        <w:rPr>
          <w:rFonts w:ascii="Garamond" w:hAnsi="Garamond"/>
        </w:rPr>
        <w:t xml:space="preserve"> Students will be notified when the evaluation period opens, and can complete evaluations through the email they receive from </w:t>
      </w:r>
      <w:proofErr w:type="spellStart"/>
      <w:r w:rsidRPr="00447A11">
        <w:rPr>
          <w:rFonts w:ascii="Garamond" w:hAnsi="Garamond"/>
        </w:rPr>
        <w:t>GatorEvals</w:t>
      </w:r>
      <w:proofErr w:type="spellEnd"/>
      <w:r w:rsidRPr="00447A11">
        <w:rPr>
          <w:rFonts w:ascii="Garamond" w:hAnsi="Garamond"/>
        </w:rPr>
        <w:t xml:space="preserve">, in their Canvas course menu under </w:t>
      </w:r>
      <w:proofErr w:type="spellStart"/>
      <w:r w:rsidRPr="00447A11">
        <w:rPr>
          <w:rFonts w:ascii="Garamond" w:hAnsi="Garamond"/>
        </w:rPr>
        <w:t>GatorEvals</w:t>
      </w:r>
      <w:proofErr w:type="spellEnd"/>
      <w:r w:rsidRPr="00447A11">
        <w:rPr>
          <w:rFonts w:ascii="Garamond" w:hAnsi="Garamond"/>
        </w:rPr>
        <w:t xml:space="preserve">, or via </w:t>
      </w:r>
      <w:hyperlink r:id="rId10" w:history="1">
        <w:r w:rsidRPr="00447A11">
          <w:rPr>
            <w:rStyle w:val="Hyperlink"/>
            <w:rFonts w:ascii="Garamond" w:hAnsi="Garamond"/>
          </w:rPr>
          <w:t>https://ufl.bluera.com/ufl/</w:t>
        </w:r>
      </w:hyperlink>
      <w:r w:rsidRPr="00447A11">
        <w:rPr>
          <w:rFonts w:ascii="Garamond" w:hAnsi="Garamond"/>
        </w:rPr>
        <w:t xml:space="preserve">. </w:t>
      </w:r>
    </w:p>
    <w:p w14:paraId="3020A5A9" w14:textId="77777777" w:rsidR="00A95227" w:rsidRDefault="00A95227" w:rsidP="00A95227">
      <w:pPr>
        <w:pStyle w:val="xmsonormal"/>
        <w:shd w:val="clear" w:color="auto" w:fill="FFFFFF"/>
        <w:spacing w:before="0" w:beforeAutospacing="0" w:after="0" w:afterAutospacing="0"/>
        <w:rPr>
          <w:rFonts w:ascii="Garamond" w:hAnsi="Garamond"/>
        </w:rPr>
      </w:pPr>
    </w:p>
    <w:p w14:paraId="6F801ED5" w14:textId="35257EA6" w:rsidR="00A95227" w:rsidRDefault="00A95227" w:rsidP="00A95227">
      <w:pPr>
        <w:pStyle w:val="xmsonormal"/>
        <w:shd w:val="clear" w:color="auto" w:fill="FFFFFF"/>
        <w:spacing w:before="0" w:beforeAutospacing="0" w:after="0" w:afterAutospacing="0"/>
        <w:rPr>
          <w:rFonts w:ascii="Garamond" w:hAnsi="Garamond"/>
        </w:rPr>
      </w:pPr>
      <w:r>
        <w:rPr>
          <w:rFonts w:ascii="Garamond" w:hAnsi="Garamond"/>
          <w:b/>
          <w:bCs/>
        </w:rPr>
        <w:t xml:space="preserve">Library Use: </w:t>
      </w:r>
      <w:r>
        <w:rPr>
          <w:rFonts w:ascii="Garamond" w:hAnsi="Garamond"/>
        </w:rPr>
        <w:t xml:space="preserve">UF has a worldclass library, and I strongly encourage you to make good use of it. The Latin American and Caribbean Collection at Smathers Library has extensive secondary sources in addition to many fascinating collections of primary documents, ready to be analyzed for our final research paper. </w:t>
      </w:r>
      <w:r w:rsidR="00383D98" w:rsidRPr="00383D98">
        <w:rPr>
          <w:rFonts w:ascii="Garamond" w:hAnsi="Garamond" w:cs="Arial"/>
          <w:color w:val="242424"/>
          <w:shd w:val="clear" w:color="auto" w:fill="FFFFFF"/>
        </w:rPr>
        <w:t>If you need reference assistance, please reach out to the LACC team at </w:t>
      </w:r>
      <w:hyperlink r:id="rId11" w:tooltip="mailto:lacref@uflib.ufl.edu" w:history="1">
        <w:r w:rsidR="00383D98" w:rsidRPr="00383D98">
          <w:rPr>
            <w:rStyle w:val="Hyperlink"/>
            <w:rFonts w:ascii="Garamond" w:eastAsiaTheme="majorEastAsia" w:hAnsi="Garamond" w:cs="Arial"/>
            <w:bdr w:val="none" w:sz="0" w:space="0" w:color="auto" w:frame="1"/>
            <w:shd w:val="clear" w:color="auto" w:fill="FFFFFF"/>
          </w:rPr>
          <w:t>lacref@uflib.ufl.edu</w:t>
        </w:r>
      </w:hyperlink>
      <w:r w:rsidR="00383D98" w:rsidRPr="00383D98">
        <w:rPr>
          <w:rFonts w:ascii="Garamond" w:hAnsi="Garamond" w:cs="Arial"/>
          <w:color w:val="242424"/>
          <w:shd w:val="clear" w:color="auto" w:fill="FFFFFF"/>
        </w:rPr>
        <w:t>.</w:t>
      </w:r>
      <w:r w:rsidR="00383D98">
        <w:rPr>
          <w:rFonts w:ascii="Arial" w:hAnsi="Arial" w:cs="Arial"/>
          <w:color w:val="242424"/>
          <w:shd w:val="clear" w:color="auto" w:fill="FFFFFF"/>
        </w:rPr>
        <w:t xml:space="preserve"> </w:t>
      </w:r>
      <w:r>
        <w:rPr>
          <w:rFonts w:ascii="Garamond" w:hAnsi="Garamond"/>
        </w:rPr>
        <w:t xml:space="preserve">For more information: </w:t>
      </w:r>
      <w:hyperlink r:id="rId12" w:history="1">
        <w:r w:rsidRPr="00BE6684">
          <w:rPr>
            <w:rStyle w:val="Hyperlink"/>
            <w:rFonts w:ascii="Garamond" w:hAnsi="Garamond"/>
          </w:rPr>
          <w:t>https://lacc.uflib.ufl.edu/</w:t>
        </w:r>
      </w:hyperlink>
      <w:r>
        <w:rPr>
          <w:rFonts w:ascii="Garamond" w:hAnsi="Garamond"/>
        </w:rPr>
        <w:t xml:space="preserve"> or stop by the third floor of Smathers Library. Remember to plan ahead! Start thinking about your research topic in October.</w:t>
      </w:r>
    </w:p>
    <w:p w14:paraId="212BB470" w14:textId="77777777" w:rsidR="00A95227" w:rsidRDefault="00A95227" w:rsidP="00A95227">
      <w:pPr>
        <w:pStyle w:val="xmsonormal"/>
        <w:shd w:val="clear" w:color="auto" w:fill="FFFFFF"/>
        <w:spacing w:before="0" w:beforeAutospacing="0" w:after="0" w:afterAutospacing="0"/>
        <w:rPr>
          <w:rFonts w:ascii="Garamond" w:hAnsi="Garamond"/>
        </w:rPr>
      </w:pPr>
    </w:p>
    <w:p w14:paraId="24B5E51C" w14:textId="77777777" w:rsidR="00A95227" w:rsidRPr="00447A11" w:rsidRDefault="00A95227" w:rsidP="00A95227">
      <w:pPr>
        <w:pStyle w:val="xmsonormal"/>
        <w:shd w:val="clear" w:color="auto" w:fill="FFFFFF"/>
        <w:spacing w:before="0" w:beforeAutospacing="0" w:after="0" w:afterAutospacing="0"/>
        <w:rPr>
          <w:rFonts w:ascii="Garamond" w:hAnsi="Garamond"/>
        </w:rPr>
      </w:pPr>
      <w:r w:rsidRPr="00447A11">
        <w:rPr>
          <w:rFonts w:ascii="Garamond" w:hAnsi="Garamond"/>
          <w:b/>
          <w:bCs/>
        </w:rPr>
        <w:t>UF Honesty Policy:</w:t>
      </w:r>
      <w:r w:rsidRPr="00447A11">
        <w:rPr>
          <w:rFonts w:ascii="Garamond" w:hAnsi="Garamond"/>
        </w:rPr>
        <w:t xml:space="preserve"> 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a number of behaviors that are in violation of this code and the possible sanctions.</w:t>
      </w:r>
      <w:r>
        <w:rPr>
          <w:rFonts w:ascii="Garamond" w:hAnsi="Garamond"/>
        </w:rPr>
        <w:t xml:space="preserve"> For more information: </w:t>
      </w:r>
      <w:hyperlink r:id="rId13" w:history="1">
        <w:r w:rsidRPr="00BE6684">
          <w:rPr>
            <w:rStyle w:val="Hyperlink"/>
            <w:rFonts w:ascii="Garamond" w:hAnsi="Garamond"/>
          </w:rPr>
          <w:t>https://sccr.dso.ufl.edu/process/student-conduct-code/</w:t>
        </w:r>
      </w:hyperlink>
      <w:r>
        <w:rPr>
          <w:rFonts w:ascii="Garamond" w:hAnsi="Garamond"/>
        </w:rPr>
        <w:t xml:space="preserve"> </w:t>
      </w:r>
    </w:p>
    <w:p w14:paraId="71233464" w14:textId="77777777" w:rsidR="00A95227" w:rsidRDefault="00A95227" w:rsidP="00A95227">
      <w:pPr>
        <w:rPr>
          <w:rFonts w:ascii="Garamond" w:eastAsia="Garamond" w:hAnsi="Garamond" w:cs="Garamond"/>
        </w:rPr>
      </w:pPr>
    </w:p>
    <w:p w14:paraId="6E9DDCA2" w14:textId="77777777" w:rsidR="00A95227" w:rsidRDefault="00A95227" w:rsidP="00A95227">
      <w:pPr>
        <w:rPr>
          <w:rFonts w:ascii="Garamond" w:eastAsia="Garamond" w:hAnsi="Garamond" w:cs="Garamond"/>
          <w:b/>
        </w:rPr>
      </w:pPr>
      <w:r>
        <w:rPr>
          <w:rFonts w:ascii="Garamond" w:eastAsia="Garamond" w:hAnsi="Garamond" w:cs="Garamond"/>
          <w:b/>
        </w:rPr>
        <w:t>ChatGPT and Plagiarism Policy:</w:t>
      </w:r>
    </w:p>
    <w:p w14:paraId="05BB9D4A" w14:textId="39C9E352" w:rsidR="00A95227" w:rsidRPr="00F01CF9" w:rsidRDefault="00B50660" w:rsidP="00A95227">
      <w:pPr>
        <w:rPr>
          <w:rFonts w:ascii="Garamond" w:eastAsia="Garamond" w:hAnsi="Garamond" w:cs="Garamond"/>
        </w:rPr>
      </w:pPr>
      <w:r w:rsidRPr="00B50660">
        <w:rPr>
          <w:rFonts w:ascii="Garamond" w:eastAsia="Garamond" w:hAnsi="Garamond" w:cs="Garamond"/>
        </w:rPr>
        <w:t xml:space="preserve">The use of ChatGPT or other AI programs is not appropriate for written contributions to this course. These assignments are meant to foster creative, critical, and synthetic thinking through evaluation and integration of course materials, personal experiences, discussion, and reflection. TURN IT IN program will be used to confirm that written work is original. </w:t>
      </w:r>
      <w:r w:rsidRPr="00B50660">
        <w:rPr>
          <w:rFonts w:ascii="Garamond" w:eastAsia="Garamond" w:hAnsi="Garamond" w:cs="Garamond"/>
          <w:b/>
          <w:bCs/>
        </w:rPr>
        <w:t>Please do not use AI software to write your papers! This course provides opportunities to develop your writing and analytic skills (as I will provide extensive feedback), and it would be a shame to waste them! AI usage can be easy to detect, and if it is detected, I will take measures that could include significantly docking grades and/or reporting students to the appropriate university authorities.</w:t>
      </w:r>
      <w:r w:rsidR="00F01CF9">
        <w:rPr>
          <w:rFonts w:ascii="Garamond" w:eastAsia="Garamond" w:hAnsi="Garamond" w:cs="Garamond"/>
          <w:b/>
          <w:bCs/>
        </w:rPr>
        <w:t xml:space="preserve"> </w:t>
      </w:r>
      <w:r w:rsidR="00F01CF9" w:rsidRPr="00F01CF9">
        <w:rPr>
          <w:rFonts w:ascii="Garamond" w:eastAsia="Garamond" w:hAnsi="Garamond" w:cs="Garamond"/>
          <w:highlight w:val="yellow"/>
        </w:rPr>
        <w:t>Please write your papers using Google docs before downloading as a Word doc and uploading to Canvas, as I may request a link if I suspect AI use</w:t>
      </w:r>
      <w:r w:rsidR="00F01CF9">
        <w:rPr>
          <w:rFonts w:ascii="Garamond" w:eastAsia="Garamond" w:hAnsi="Garamond" w:cs="Garamond"/>
          <w:highlight w:val="yellow"/>
        </w:rPr>
        <w:t xml:space="preserve">. In these cases, </w:t>
      </w:r>
      <w:r w:rsidR="00F01CF9" w:rsidRPr="00F01CF9">
        <w:rPr>
          <w:rFonts w:ascii="Garamond" w:eastAsia="Garamond" w:hAnsi="Garamond" w:cs="Garamond"/>
          <w:highlight w:val="yellow"/>
        </w:rPr>
        <w:t xml:space="preserve">I will need to see a Version History that reflects the pace and </w:t>
      </w:r>
      <w:r w:rsidR="00891085">
        <w:rPr>
          <w:rFonts w:ascii="Garamond" w:eastAsia="Garamond" w:hAnsi="Garamond" w:cs="Garamond"/>
          <w:highlight w:val="yellow"/>
        </w:rPr>
        <w:t>iterative nature</w:t>
      </w:r>
      <w:r w:rsidR="00F01CF9" w:rsidRPr="00F01CF9">
        <w:rPr>
          <w:rFonts w:ascii="Garamond" w:eastAsia="Garamond" w:hAnsi="Garamond" w:cs="Garamond"/>
          <w:highlight w:val="yellow"/>
        </w:rPr>
        <w:t xml:space="preserve"> of original writing.</w:t>
      </w:r>
    </w:p>
    <w:p w14:paraId="0DC4A75E" w14:textId="77777777" w:rsidR="00B50660" w:rsidRDefault="00B50660" w:rsidP="00A95227">
      <w:pPr>
        <w:rPr>
          <w:rFonts w:ascii="Garamond" w:eastAsia="Garamond" w:hAnsi="Garamond" w:cs="Garamond"/>
          <w:u w:val="single"/>
        </w:rPr>
      </w:pPr>
    </w:p>
    <w:p w14:paraId="098DDD7A" w14:textId="77777777" w:rsidR="00A95227" w:rsidRDefault="00A95227" w:rsidP="00A95227">
      <w:pPr>
        <w:rPr>
          <w:rFonts w:ascii="Garamond" w:eastAsia="Garamond" w:hAnsi="Garamond" w:cs="Garamond"/>
        </w:rPr>
      </w:pPr>
      <w:r>
        <w:rPr>
          <w:rFonts w:ascii="Garamond" w:eastAsia="Garamond" w:hAnsi="Garamond" w:cs="Garamond"/>
          <w:u w:val="single"/>
        </w:rPr>
        <w:t>Grades will be calculated as follows:</w:t>
      </w:r>
    </w:p>
    <w:tbl>
      <w:tblPr>
        <w:tblW w:w="5654" w:type="dxa"/>
        <w:tblInd w:w="556" w:type="dxa"/>
        <w:tblBorders>
          <w:top w:val="nil"/>
          <w:left w:val="nil"/>
          <w:bottom w:val="nil"/>
          <w:right w:val="nil"/>
          <w:insideH w:val="nil"/>
          <w:insideV w:val="nil"/>
        </w:tblBorders>
        <w:tblLayout w:type="fixed"/>
        <w:tblLook w:val="0400" w:firstRow="0" w:lastRow="0" w:firstColumn="0" w:lastColumn="0" w:noHBand="0" w:noVBand="1"/>
      </w:tblPr>
      <w:tblGrid>
        <w:gridCol w:w="1490"/>
        <w:gridCol w:w="2364"/>
        <w:gridCol w:w="1800"/>
      </w:tblGrid>
      <w:tr w:rsidR="00A95227" w14:paraId="3579739F" w14:textId="77777777" w:rsidTr="00AB37AB">
        <w:trPr>
          <w:trHeight w:val="283"/>
        </w:trPr>
        <w:tc>
          <w:tcPr>
            <w:tcW w:w="1490" w:type="dxa"/>
          </w:tcPr>
          <w:p w14:paraId="227650A3" w14:textId="77777777" w:rsidR="00A95227" w:rsidRDefault="00A95227" w:rsidP="00AB37AB">
            <w:pPr>
              <w:rPr>
                <w:rFonts w:ascii="Garamond" w:eastAsia="Garamond" w:hAnsi="Garamond" w:cs="Garamond"/>
              </w:rPr>
            </w:pPr>
            <w:r>
              <w:rPr>
                <w:rFonts w:ascii="Garamond" w:eastAsia="Garamond" w:hAnsi="Garamond" w:cs="Garamond"/>
              </w:rPr>
              <w:t>A</w:t>
            </w:r>
          </w:p>
        </w:tc>
        <w:tc>
          <w:tcPr>
            <w:tcW w:w="2364" w:type="dxa"/>
          </w:tcPr>
          <w:p w14:paraId="30004359" w14:textId="77777777" w:rsidR="00A95227" w:rsidRDefault="00A95227" w:rsidP="00AB37AB">
            <w:pPr>
              <w:rPr>
                <w:rFonts w:ascii="Garamond" w:eastAsia="Garamond" w:hAnsi="Garamond" w:cs="Garamond"/>
              </w:rPr>
            </w:pPr>
            <w:r>
              <w:rPr>
                <w:rFonts w:ascii="Garamond" w:eastAsia="Garamond" w:hAnsi="Garamond" w:cs="Garamond"/>
              </w:rPr>
              <w:t>100 pts to</w:t>
            </w:r>
          </w:p>
        </w:tc>
        <w:tc>
          <w:tcPr>
            <w:tcW w:w="1800" w:type="dxa"/>
          </w:tcPr>
          <w:p w14:paraId="152487C6" w14:textId="77777777" w:rsidR="00A95227" w:rsidRDefault="00A95227" w:rsidP="00AB37AB">
            <w:pPr>
              <w:rPr>
                <w:rFonts w:ascii="Garamond" w:eastAsia="Garamond" w:hAnsi="Garamond" w:cs="Garamond"/>
              </w:rPr>
            </w:pPr>
            <w:r>
              <w:rPr>
                <w:rFonts w:ascii="Garamond" w:eastAsia="Garamond" w:hAnsi="Garamond" w:cs="Garamond"/>
              </w:rPr>
              <w:t>93 pts</w:t>
            </w:r>
          </w:p>
        </w:tc>
      </w:tr>
      <w:tr w:rsidR="00A95227" w14:paraId="128B7FFE" w14:textId="77777777" w:rsidTr="00AB37AB">
        <w:trPr>
          <w:trHeight w:val="283"/>
        </w:trPr>
        <w:tc>
          <w:tcPr>
            <w:tcW w:w="1490" w:type="dxa"/>
          </w:tcPr>
          <w:p w14:paraId="0F55798D" w14:textId="77777777" w:rsidR="00A95227" w:rsidRDefault="00A95227" w:rsidP="00AB37AB">
            <w:pPr>
              <w:rPr>
                <w:rFonts w:ascii="Garamond" w:eastAsia="Garamond" w:hAnsi="Garamond" w:cs="Garamond"/>
              </w:rPr>
            </w:pPr>
            <w:r>
              <w:rPr>
                <w:rFonts w:ascii="Garamond" w:eastAsia="Garamond" w:hAnsi="Garamond" w:cs="Garamond"/>
              </w:rPr>
              <w:lastRenderedPageBreak/>
              <w:t>A-</w:t>
            </w:r>
          </w:p>
        </w:tc>
        <w:tc>
          <w:tcPr>
            <w:tcW w:w="2364" w:type="dxa"/>
          </w:tcPr>
          <w:p w14:paraId="5D24C115" w14:textId="77777777" w:rsidR="00A95227" w:rsidRDefault="00A95227" w:rsidP="00AB37AB">
            <w:pPr>
              <w:rPr>
                <w:rFonts w:ascii="Garamond" w:eastAsia="Garamond" w:hAnsi="Garamond" w:cs="Garamond"/>
              </w:rPr>
            </w:pPr>
            <w:r>
              <w:rPr>
                <w:rFonts w:ascii="Garamond" w:eastAsia="Garamond" w:hAnsi="Garamond" w:cs="Garamond"/>
              </w:rPr>
              <w:t>&lt;93 pts to</w:t>
            </w:r>
          </w:p>
        </w:tc>
        <w:tc>
          <w:tcPr>
            <w:tcW w:w="1800" w:type="dxa"/>
          </w:tcPr>
          <w:p w14:paraId="66101892" w14:textId="77777777" w:rsidR="00A95227" w:rsidRDefault="00A95227" w:rsidP="00AB37AB">
            <w:pPr>
              <w:rPr>
                <w:rFonts w:ascii="Garamond" w:eastAsia="Garamond" w:hAnsi="Garamond" w:cs="Garamond"/>
              </w:rPr>
            </w:pPr>
            <w:r>
              <w:rPr>
                <w:rFonts w:ascii="Garamond" w:eastAsia="Garamond" w:hAnsi="Garamond" w:cs="Garamond"/>
              </w:rPr>
              <w:t>90 pts</w:t>
            </w:r>
          </w:p>
        </w:tc>
      </w:tr>
      <w:tr w:rsidR="00A95227" w14:paraId="4BF8D8F7" w14:textId="77777777" w:rsidTr="00AB37AB">
        <w:trPr>
          <w:trHeight w:val="283"/>
        </w:trPr>
        <w:tc>
          <w:tcPr>
            <w:tcW w:w="1490" w:type="dxa"/>
          </w:tcPr>
          <w:p w14:paraId="0CB9FCC8" w14:textId="77777777" w:rsidR="00A95227" w:rsidRDefault="00A95227" w:rsidP="00AB37AB">
            <w:pPr>
              <w:rPr>
                <w:rFonts w:ascii="Garamond" w:eastAsia="Garamond" w:hAnsi="Garamond" w:cs="Garamond"/>
              </w:rPr>
            </w:pPr>
            <w:r>
              <w:rPr>
                <w:rFonts w:ascii="Garamond" w:eastAsia="Garamond" w:hAnsi="Garamond" w:cs="Garamond"/>
              </w:rPr>
              <w:t>B+</w:t>
            </w:r>
          </w:p>
        </w:tc>
        <w:tc>
          <w:tcPr>
            <w:tcW w:w="2364" w:type="dxa"/>
          </w:tcPr>
          <w:p w14:paraId="56233F66" w14:textId="77777777" w:rsidR="00A95227" w:rsidRDefault="00A95227" w:rsidP="00AB37AB">
            <w:pPr>
              <w:rPr>
                <w:rFonts w:ascii="Garamond" w:eastAsia="Garamond" w:hAnsi="Garamond" w:cs="Garamond"/>
              </w:rPr>
            </w:pPr>
            <w:r>
              <w:rPr>
                <w:rFonts w:ascii="Garamond" w:eastAsia="Garamond" w:hAnsi="Garamond" w:cs="Garamond"/>
              </w:rPr>
              <w:t>&lt;90 pts to</w:t>
            </w:r>
          </w:p>
        </w:tc>
        <w:tc>
          <w:tcPr>
            <w:tcW w:w="1800" w:type="dxa"/>
          </w:tcPr>
          <w:p w14:paraId="2144157B" w14:textId="77777777" w:rsidR="00A95227" w:rsidRDefault="00A95227" w:rsidP="00AB37AB">
            <w:pPr>
              <w:rPr>
                <w:rFonts w:ascii="Garamond" w:eastAsia="Garamond" w:hAnsi="Garamond" w:cs="Garamond"/>
              </w:rPr>
            </w:pPr>
            <w:r>
              <w:rPr>
                <w:rFonts w:ascii="Garamond" w:eastAsia="Garamond" w:hAnsi="Garamond" w:cs="Garamond"/>
              </w:rPr>
              <w:t>87 pts</w:t>
            </w:r>
          </w:p>
        </w:tc>
      </w:tr>
      <w:tr w:rsidR="00A95227" w14:paraId="1765F28D" w14:textId="77777777" w:rsidTr="00AB37AB">
        <w:trPr>
          <w:trHeight w:val="283"/>
        </w:trPr>
        <w:tc>
          <w:tcPr>
            <w:tcW w:w="1490" w:type="dxa"/>
          </w:tcPr>
          <w:p w14:paraId="24A847EF" w14:textId="77777777" w:rsidR="00A95227" w:rsidRDefault="00A95227" w:rsidP="00AB37AB">
            <w:pPr>
              <w:rPr>
                <w:rFonts w:ascii="Garamond" w:eastAsia="Garamond" w:hAnsi="Garamond" w:cs="Garamond"/>
              </w:rPr>
            </w:pPr>
            <w:r>
              <w:rPr>
                <w:rFonts w:ascii="Garamond" w:eastAsia="Garamond" w:hAnsi="Garamond" w:cs="Garamond"/>
              </w:rPr>
              <w:t>B</w:t>
            </w:r>
          </w:p>
        </w:tc>
        <w:tc>
          <w:tcPr>
            <w:tcW w:w="2364" w:type="dxa"/>
          </w:tcPr>
          <w:p w14:paraId="66DC6B3F" w14:textId="77777777" w:rsidR="00A95227" w:rsidRDefault="00A95227" w:rsidP="00AB37AB">
            <w:pPr>
              <w:rPr>
                <w:rFonts w:ascii="Garamond" w:eastAsia="Garamond" w:hAnsi="Garamond" w:cs="Garamond"/>
              </w:rPr>
            </w:pPr>
            <w:r>
              <w:rPr>
                <w:rFonts w:ascii="Garamond" w:eastAsia="Garamond" w:hAnsi="Garamond" w:cs="Garamond"/>
              </w:rPr>
              <w:t>&lt;87 pts to</w:t>
            </w:r>
          </w:p>
        </w:tc>
        <w:tc>
          <w:tcPr>
            <w:tcW w:w="1800" w:type="dxa"/>
          </w:tcPr>
          <w:p w14:paraId="310B3E68" w14:textId="77777777" w:rsidR="00A95227" w:rsidRDefault="00A95227" w:rsidP="00AB37AB">
            <w:pPr>
              <w:rPr>
                <w:rFonts w:ascii="Garamond" w:eastAsia="Garamond" w:hAnsi="Garamond" w:cs="Garamond"/>
              </w:rPr>
            </w:pPr>
            <w:r>
              <w:rPr>
                <w:rFonts w:ascii="Garamond" w:eastAsia="Garamond" w:hAnsi="Garamond" w:cs="Garamond"/>
              </w:rPr>
              <w:t>83 pts</w:t>
            </w:r>
          </w:p>
        </w:tc>
      </w:tr>
      <w:tr w:rsidR="00A95227" w14:paraId="1C025061" w14:textId="77777777" w:rsidTr="00AB37AB">
        <w:trPr>
          <w:trHeight w:val="283"/>
        </w:trPr>
        <w:tc>
          <w:tcPr>
            <w:tcW w:w="1490" w:type="dxa"/>
          </w:tcPr>
          <w:p w14:paraId="3D16CBBD" w14:textId="77777777" w:rsidR="00A95227" w:rsidRDefault="00A95227" w:rsidP="00AB37AB">
            <w:pPr>
              <w:rPr>
                <w:rFonts w:ascii="Garamond" w:eastAsia="Garamond" w:hAnsi="Garamond" w:cs="Garamond"/>
              </w:rPr>
            </w:pPr>
            <w:r>
              <w:rPr>
                <w:rFonts w:ascii="Garamond" w:eastAsia="Garamond" w:hAnsi="Garamond" w:cs="Garamond"/>
              </w:rPr>
              <w:t>B-</w:t>
            </w:r>
          </w:p>
        </w:tc>
        <w:tc>
          <w:tcPr>
            <w:tcW w:w="2364" w:type="dxa"/>
          </w:tcPr>
          <w:p w14:paraId="2E92D433" w14:textId="77777777" w:rsidR="00A95227" w:rsidRDefault="00A95227" w:rsidP="00AB37AB">
            <w:pPr>
              <w:rPr>
                <w:rFonts w:ascii="Garamond" w:eastAsia="Garamond" w:hAnsi="Garamond" w:cs="Garamond"/>
              </w:rPr>
            </w:pPr>
            <w:r>
              <w:rPr>
                <w:rFonts w:ascii="Garamond" w:eastAsia="Garamond" w:hAnsi="Garamond" w:cs="Garamond"/>
              </w:rPr>
              <w:t>&lt;83 pts to</w:t>
            </w:r>
          </w:p>
        </w:tc>
        <w:tc>
          <w:tcPr>
            <w:tcW w:w="1800" w:type="dxa"/>
          </w:tcPr>
          <w:p w14:paraId="51E36764" w14:textId="77777777" w:rsidR="00A95227" w:rsidRDefault="00A95227" w:rsidP="00AB37AB">
            <w:pPr>
              <w:rPr>
                <w:rFonts w:ascii="Garamond" w:eastAsia="Garamond" w:hAnsi="Garamond" w:cs="Garamond"/>
              </w:rPr>
            </w:pPr>
            <w:r>
              <w:rPr>
                <w:rFonts w:ascii="Garamond" w:eastAsia="Garamond" w:hAnsi="Garamond" w:cs="Garamond"/>
              </w:rPr>
              <w:t>80 pts</w:t>
            </w:r>
          </w:p>
        </w:tc>
      </w:tr>
      <w:tr w:rsidR="00A95227" w14:paraId="6ACE97B5" w14:textId="77777777" w:rsidTr="00AB37AB">
        <w:trPr>
          <w:trHeight w:val="283"/>
        </w:trPr>
        <w:tc>
          <w:tcPr>
            <w:tcW w:w="1490" w:type="dxa"/>
          </w:tcPr>
          <w:p w14:paraId="1FD2660B" w14:textId="77777777" w:rsidR="00A95227" w:rsidRDefault="00A95227" w:rsidP="00AB37AB">
            <w:pPr>
              <w:rPr>
                <w:rFonts w:ascii="Garamond" w:eastAsia="Garamond" w:hAnsi="Garamond" w:cs="Garamond"/>
              </w:rPr>
            </w:pPr>
            <w:r>
              <w:rPr>
                <w:rFonts w:ascii="Garamond" w:eastAsia="Garamond" w:hAnsi="Garamond" w:cs="Garamond"/>
              </w:rPr>
              <w:t>C+</w:t>
            </w:r>
          </w:p>
        </w:tc>
        <w:tc>
          <w:tcPr>
            <w:tcW w:w="2364" w:type="dxa"/>
          </w:tcPr>
          <w:p w14:paraId="65A16E70" w14:textId="77777777" w:rsidR="00A95227" w:rsidRDefault="00A95227" w:rsidP="00AB37AB">
            <w:pPr>
              <w:rPr>
                <w:rFonts w:ascii="Garamond" w:eastAsia="Garamond" w:hAnsi="Garamond" w:cs="Garamond"/>
              </w:rPr>
            </w:pPr>
            <w:r>
              <w:rPr>
                <w:rFonts w:ascii="Garamond" w:eastAsia="Garamond" w:hAnsi="Garamond" w:cs="Garamond"/>
              </w:rPr>
              <w:t>&lt;80 pts to</w:t>
            </w:r>
          </w:p>
        </w:tc>
        <w:tc>
          <w:tcPr>
            <w:tcW w:w="1800" w:type="dxa"/>
          </w:tcPr>
          <w:p w14:paraId="7D16B299" w14:textId="77777777" w:rsidR="00A95227" w:rsidRDefault="00A95227" w:rsidP="00AB37AB">
            <w:pPr>
              <w:rPr>
                <w:rFonts w:ascii="Garamond" w:eastAsia="Garamond" w:hAnsi="Garamond" w:cs="Garamond"/>
              </w:rPr>
            </w:pPr>
            <w:r>
              <w:rPr>
                <w:rFonts w:ascii="Garamond" w:eastAsia="Garamond" w:hAnsi="Garamond" w:cs="Garamond"/>
              </w:rPr>
              <w:t>77 pts</w:t>
            </w:r>
          </w:p>
        </w:tc>
      </w:tr>
      <w:tr w:rsidR="00A95227" w14:paraId="0F55AB52" w14:textId="77777777" w:rsidTr="00AB37AB">
        <w:trPr>
          <w:trHeight w:val="283"/>
        </w:trPr>
        <w:tc>
          <w:tcPr>
            <w:tcW w:w="1490" w:type="dxa"/>
          </w:tcPr>
          <w:p w14:paraId="129EEBD3" w14:textId="77777777" w:rsidR="00A95227" w:rsidRDefault="00A95227" w:rsidP="00AB37AB">
            <w:pPr>
              <w:rPr>
                <w:rFonts w:ascii="Garamond" w:eastAsia="Garamond" w:hAnsi="Garamond" w:cs="Garamond"/>
              </w:rPr>
            </w:pPr>
            <w:r>
              <w:rPr>
                <w:rFonts w:ascii="Garamond" w:eastAsia="Garamond" w:hAnsi="Garamond" w:cs="Garamond"/>
              </w:rPr>
              <w:t>C</w:t>
            </w:r>
          </w:p>
        </w:tc>
        <w:tc>
          <w:tcPr>
            <w:tcW w:w="2364" w:type="dxa"/>
          </w:tcPr>
          <w:p w14:paraId="75C9B4DF" w14:textId="77777777" w:rsidR="00A95227" w:rsidRDefault="00A95227" w:rsidP="00AB37AB">
            <w:pPr>
              <w:rPr>
                <w:rFonts w:ascii="Garamond" w:eastAsia="Garamond" w:hAnsi="Garamond" w:cs="Garamond"/>
              </w:rPr>
            </w:pPr>
            <w:r>
              <w:rPr>
                <w:rFonts w:ascii="Garamond" w:eastAsia="Garamond" w:hAnsi="Garamond" w:cs="Garamond"/>
              </w:rPr>
              <w:t>&lt;77 pts to</w:t>
            </w:r>
          </w:p>
        </w:tc>
        <w:tc>
          <w:tcPr>
            <w:tcW w:w="1800" w:type="dxa"/>
          </w:tcPr>
          <w:p w14:paraId="562CCA31" w14:textId="77777777" w:rsidR="00A95227" w:rsidRDefault="00A95227" w:rsidP="00AB37AB">
            <w:pPr>
              <w:rPr>
                <w:rFonts w:ascii="Garamond" w:eastAsia="Garamond" w:hAnsi="Garamond" w:cs="Garamond"/>
              </w:rPr>
            </w:pPr>
            <w:r>
              <w:rPr>
                <w:rFonts w:ascii="Garamond" w:eastAsia="Garamond" w:hAnsi="Garamond" w:cs="Garamond"/>
              </w:rPr>
              <w:t>73 pts</w:t>
            </w:r>
          </w:p>
        </w:tc>
      </w:tr>
      <w:tr w:rsidR="00A95227" w14:paraId="68A2AC30" w14:textId="77777777" w:rsidTr="00AB37AB">
        <w:trPr>
          <w:trHeight w:val="283"/>
        </w:trPr>
        <w:tc>
          <w:tcPr>
            <w:tcW w:w="1490" w:type="dxa"/>
          </w:tcPr>
          <w:p w14:paraId="649A2362" w14:textId="77777777" w:rsidR="00A95227" w:rsidRDefault="00A95227" w:rsidP="00AB37AB">
            <w:pPr>
              <w:rPr>
                <w:rFonts w:ascii="Garamond" w:eastAsia="Garamond" w:hAnsi="Garamond" w:cs="Garamond"/>
              </w:rPr>
            </w:pPr>
            <w:r>
              <w:rPr>
                <w:rFonts w:ascii="Garamond" w:eastAsia="Garamond" w:hAnsi="Garamond" w:cs="Garamond"/>
              </w:rPr>
              <w:t>C-</w:t>
            </w:r>
          </w:p>
        </w:tc>
        <w:tc>
          <w:tcPr>
            <w:tcW w:w="2364" w:type="dxa"/>
          </w:tcPr>
          <w:p w14:paraId="084C4218" w14:textId="77777777" w:rsidR="00A95227" w:rsidRDefault="00A95227" w:rsidP="00AB37AB">
            <w:pPr>
              <w:rPr>
                <w:rFonts w:ascii="Garamond" w:eastAsia="Garamond" w:hAnsi="Garamond" w:cs="Garamond"/>
              </w:rPr>
            </w:pPr>
            <w:r>
              <w:rPr>
                <w:rFonts w:ascii="Garamond" w:eastAsia="Garamond" w:hAnsi="Garamond" w:cs="Garamond"/>
              </w:rPr>
              <w:t>&lt;73 pts to</w:t>
            </w:r>
          </w:p>
        </w:tc>
        <w:tc>
          <w:tcPr>
            <w:tcW w:w="1800" w:type="dxa"/>
          </w:tcPr>
          <w:p w14:paraId="70903DE0" w14:textId="77777777" w:rsidR="00A95227" w:rsidRDefault="00A95227" w:rsidP="00AB37AB">
            <w:pPr>
              <w:rPr>
                <w:rFonts w:ascii="Garamond" w:eastAsia="Garamond" w:hAnsi="Garamond" w:cs="Garamond"/>
              </w:rPr>
            </w:pPr>
            <w:r>
              <w:rPr>
                <w:rFonts w:ascii="Garamond" w:eastAsia="Garamond" w:hAnsi="Garamond" w:cs="Garamond"/>
              </w:rPr>
              <w:t>70 pts</w:t>
            </w:r>
          </w:p>
        </w:tc>
      </w:tr>
      <w:tr w:rsidR="00A95227" w14:paraId="0D6AF6E3" w14:textId="77777777" w:rsidTr="00AB37AB">
        <w:trPr>
          <w:trHeight w:val="283"/>
        </w:trPr>
        <w:tc>
          <w:tcPr>
            <w:tcW w:w="1490" w:type="dxa"/>
          </w:tcPr>
          <w:p w14:paraId="43B4AA58" w14:textId="77777777" w:rsidR="00A95227" w:rsidRDefault="00A95227" w:rsidP="00AB37AB">
            <w:pPr>
              <w:rPr>
                <w:rFonts w:ascii="Garamond" w:eastAsia="Garamond" w:hAnsi="Garamond" w:cs="Garamond"/>
              </w:rPr>
            </w:pPr>
            <w:r>
              <w:rPr>
                <w:rFonts w:ascii="Garamond" w:eastAsia="Garamond" w:hAnsi="Garamond" w:cs="Garamond"/>
              </w:rPr>
              <w:t>D+</w:t>
            </w:r>
          </w:p>
        </w:tc>
        <w:tc>
          <w:tcPr>
            <w:tcW w:w="2364" w:type="dxa"/>
          </w:tcPr>
          <w:p w14:paraId="04F7C3F2" w14:textId="77777777" w:rsidR="00A95227" w:rsidRDefault="00A95227" w:rsidP="00AB37AB">
            <w:pPr>
              <w:rPr>
                <w:rFonts w:ascii="Garamond" w:eastAsia="Garamond" w:hAnsi="Garamond" w:cs="Garamond"/>
              </w:rPr>
            </w:pPr>
            <w:r>
              <w:rPr>
                <w:rFonts w:ascii="Garamond" w:eastAsia="Garamond" w:hAnsi="Garamond" w:cs="Garamond"/>
              </w:rPr>
              <w:t>&lt;70 pts to</w:t>
            </w:r>
          </w:p>
        </w:tc>
        <w:tc>
          <w:tcPr>
            <w:tcW w:w="1800" w:type="dxa"/>
          </w:tcPr>
          <w:p w14:paraId="3024C374" w14:textId="77777777" w:rsidR="00A95227" w:rsidRDefault="00A95227" w:rsidP="00AB37AB">
            <w:pPr>
              <w:rPr>
                <w:rFonts w:ascii="Garamond" w:eastAsia="Garamond" w:hAnsi="Garamond" w:cs="Garamond"/>
              </w:rPr>
            </w:pPr>
            <w:r>
              <w:rPr>
                <w:rFonts w:ascii="Garamond" w:eastAsia="Garamond" w:hAnsi="Garamond" w:cs="Garamond"/>
              </w:rPr>
              <w:t>67 pts</w:t>
            </w:r>
          </w:p>
        </w:tc>
      </w:tr>
      <w:tr w:rsidR="00A95227" w14:paraId="58A64F51" w14:textId="77777777" w:rsidTr="00AB37AB">
        <w:trPr>
          <w:trHeight w:val="283"/>
        </w:trPr>
        <w:tc>
          <w:tcPr>
            <w:tcW w:w="1490" w:type="dxa"/>
          </w:tcPr>
          <w:p w14:paraId="5B8E095A" w14:textId="77777777" w:rsidR="00A95227" w:rsidRDefault="00A95227" w:rsidP="00AB37AB">
            <w:pPr>
              <w:rPr>
                <w:rFonts w:ascii="Garamond" w:eastAsia="Garamond" w:hAnsi="Garamond" w:cs="Garamond"/>
              </w:rPr>
            </w:pPr>
            <w:r>
              <w:rPr>
                <w:rFonts w:ascii="Garamond" w:eastAsia="Garamond" w:hAnsi="Garamond" w:cs="Garamond"/>
              </w:rPr>
              <w:t>D</w:t>
            </w:r>
          </w:p>
        </w:tc>
        <w:tc>
          <w:tcPr>
            <w:tcW w:w="2364" w:type="dxa"/>
          </w:tcPr>
          <w:p w14:paraId="7309A5F2" w14:textId="77777777" w:rsidR="00A95227" w:rsidRDefault="00A95227" w:rsidP="00AB37AB">
            <w:pPr>
              <w:rPr>
                <w:rFonts w:ascii="Garamond" w:eastAsia="Garamond" w:hAnsi="Garamond" w:cs="Garamond"/>
              </w:rPr>
            </w:pPr>
            <w:r>
              <w:rPr>
                <w:rFonts w:ascii="Garamond" w:eastAsia="Garamond" w:hAnsi="Garamond" w:cs="Garamond"/>
              </w:rPr>
              <w:t>&lt;67 pts to</w:t>
            </w:r>
          </w:p>
        </w:tc>
        <w:tc>
          <w:tcPr>
            <w:tcW w:w="1800" w:type="dxa"/>
          </w:tcPr>
          <w:p w14:paraId="54303677" w14:textId="77777777" w:rsidR="00A95227" w:rsidRDefault="00A95227" w:rsidP="00AB37AB">
            <w:pPr>
              <w:rPr>
                <w:rFonts w:ascii="Garamond" w:eastAsia="Garamond" w:hAnsi="Garamond" w:cs="Garamond"/>
              </w:rPr>
            </w:pPr>
            <w:r>
              <w:rPr>
                <w:rFonts w:ascii="Garamond" w:eastAsia="Garamond" w:hAnsi="Garamond" w:cs="Garamond"/>
              </w:rPr>
              <w:t>63 pts</w:t>
            </w:r>
          </w:p>
        </w:tc>
      </w:tr>
      <w:tr w:rsidR="00A95227" w14:paraId="0B37956A" w14:textId="77777777" w:rsidTr="00AB37AB">
        <w:trPr>
          <w:trHeight w:val="283"/>
        </w:trPr>
        <w:tc>
          <w:tcPr>
            <w:tcW w:w="1490" w:type="dxa"/>
          </w:tcPr>
          <w:p w14:paraId="7F3DB954" w14:textId="77777777" w:rsidR="00A95227" w:rsidRDefault="00A95227" w:rsidP="00AB37AB">
            <w:pPr>
              <w:rPr>
                <w:rFonts w:ascii="Garamond" w:eastAsia="Garamond" w:hAnsi="Garamond" w:cs="Garamond"/>
              </w:rPr>
            </w:pPr>
            <w:r>
              <w:rPr>
                <w:rFonts w:ascii="Garamond" w:eastAsia="Garamond" w:hAnsi="Garamond" w:cs="Garamond"/>
              </w:rPr>
              <w:t>D-</w:t>
            </w:r>
          </w:p>
        </w:tc>
        <w:tc>
          <w:tcPr>
            <w:tcW w:w="2364" w:type="dxa"/>
          </w:tcPr>
          <w:p w14:paraId="7DFBC2B9" w14:textId="77777777" w:rsidR="00A95227" w:rsidRDefault="00A95227" w:rsidP="00AB37AB">
            <w:pPr>
              <w:rPr>
                <w:rFonts w:ascii="Garamond" w:eastAsia="Garamond" w:hAnsi="Garamond" w:cs="Garamond"/>
              </w:rPr>
            </w:pPr>
            <w:r>
              <w:rPr>
                <w:rFonts w:ascii="Garamond" w:eastAsia="Garamond" w:hAnsi="Garamond" w:cs="Garamond"/>
              </w:rPr>
              <w:t>&lt;63 pts to</w:t>
            </w:r>
          </w:p>
        </w:tc>
        <w:tc>
          <w:tcPr>
            <w:tcW w:w="1800" w:type="dxa"/>
          </w:tcPr>
          <w:p w14:paraId="3E6A331C" w14:textId="77777777" w:rsidR="00A95227" w:rsidRDefault="00A95227" w:rsidP="00AB37AB">
            <w:pPr>
              <w:rPr>
                <w:rFonts w:ascii="Garamond" w:eastAsia="Garamond" w:hAnsi="Garamond" w:cs="Garamond"/>
              </w:rPr>
            </w:pPr>
            <w:r>
              <w:rPr>
                <w:rFonts w:ascii="Garamond" w:eastAsia="Garamond" w:hAnsi="Garamond" w:cs="Garamond"/>
              </w:rPr>
              <w:t>60 pts</w:t>
            </w:r>
          </w:p>
        </w:tc>
      </w:tr>
      <w:tr w:rsidR="00A95227" w14:paraId="39DE09AE" w14:textId="77777777" w:rsidTr="00AB37AB">
        <w:trPr>
          <w:trHeight w:val="67"/>
        </w:trPr>
        <w:tc>
          <w:tcPr>
            <w:tcW w:w="1490" w:type="dxa"/>
          </w:tcPr>
          <w:p w14:paraId="6E6BA79F" w14:textId="77777777" w:rsidR="00A95227" w:rsidRDefault="00A95227" w:rsidP="00AB37AB">
            <w:pPr>
              <w:rPr>
                <w:rFonts w:ascii="Garamond" w:eastAsia="Garamond" w:hAnsi="Garamond" w:cs="Garamond"/>
              </w:rPr>
            </w:pPr>
            <w:r>
              <w:rPr>
                <w:rFonts w:ascii="Garamond" w:eastAsia="Garamond" w:hAnsi="Garamond" w:cs="Garamond"/>
              </w:rPr>
              <w:t>F</w:t>
            </w:r>
          </w:p>
        </w:tc>
        <w:tc>
          <w:tcPr>
            <w:tcW w:w="2364" w:type="dxa"/>
          </w:tcPr>
          <w:p w14:paraId="330A6DBB" w14:textId="77777777" w:rsidR="00A95227" w:rsidRDefault="00A95227" w:rsidP="00AB37AB">
            <w:pPr>
              <w:rPr>
                <w:rFonts w:ascii="Garamond" w:eastAsia="Garamond" w:hAnsi="Garamond" w:cs="Garamond"/>
              </w:rPr>
            </w:pPr>
            <w:r>
              <w:rPr>
                <w:rFonts w:ascii="Garamond" w:eastAsia="Garamond" w:hAnsi="Garamond" w:cs="Garamond"/>
              </w:rPr>
              <w:t>&lt;60 pts to</w:t>
            </w:r>
          </w:p>
        </w:tc>
        <w:tc>
          <w:tcPr>
            <w:tcW w:w="1800" w:type="dxa"/>
          </w:tcPr>
          <w:p w14:paraId="32207939" w14:textId="77777777" w:rsidR="00A95227" w:rsidRDefault="00A95227" w:rsidP="00AB37AB">
            <w:pPr>
              <w:rPr>
                <w:rFonts w:ascii="Garamond" w:eastAsia="Garamond" w:hAnsi="Garamond" w:cs="Garamond"/>
              </w:rPr>
            </w:pPr>
            <w:r>
              <w:rPr>
                <w:rFonts w:ascii="Garamond" w:eastAsia="Garamond" w:hAnsi="Garamond" w:cs="Garamond"/>
              </w:rPr>
              <w:t>0 pts</w:t>
            </w:r>
          </w:p>
          <w:p w14:paraId="22D754D4" w14:textId="77777777" w:rsidR="00A95227" w:rsidRDefault="00A95227" w:rsidP="00AB37AB">
            <w:pPr>
              <w:rPr>
                <w:rFonts w:ascii="Garamond" w:eastAsia="Garamond" w:hAnsi="Garamond" w:cs="Garamond"/>
              </w:rPr>
            </w:pPr>
          </w:p>
        </w:tc>
      </w:tr>
    </w:tbl>
    <w:p w14:paraId="162628B0" w14:textId="77777777" w:rsidR="00A95227" w:rsidRDefault="00A95227" w:rsidP="00A95227">
      <w:pPr>
        <w:jc w:val="both"/>
        <w:rPr>
          <w:rFonts w:ascii="Garamond" w:hAnsi="Garamond" w:cstheme="minorHAnsi"/>
        </w:rPr>
      </w:pPr>
    </w:p>
    <w:p w14:paraId="50F39E8F" w14:textId="77777777" w:rsidR="00A95227" w:rsidRDefault="00A95227" w:rsidP="00A95227">
      <w:pPr>
        <w:jc w:val="both"/>
        <w:rPr>
          <w:rFonts w:ascii="Garamond" w:hAnsi="Garamond" w:cstheme="minorHAnsi"/>
        </w:rPr>
      </w:pPr>
      <w:r>
        <w:rPr>
          <w:rFonts w:ascii="Garamond" w:hAnsi="Garamond" w:cstheme="minorHAnsi"/>
        </w:rPr>
        <w:t xml:space="preserve">Please consult the UF website for further information on grades and grading policies: </w:t>
      </w:r>
      <w:hyperlink r:id="rId14" w:history="1">
        <w:r w:rsidRPr="00BE6684">
          <w:rPr>
            <w:rStyle w:val="Hyperlink"/>
            <w:rFonts w:ascii="Garamond" w:hAnsi="Garamond" w:cstheme="minorHAnsi"/>
          </w:rPr>
          <w:t>https://catalog.ufl.edu/UGRD/academic-regulations/grades-grading-policies/</w:t>
        </w:r>
      </w:hyperlink>
      <w:r>
        <w:rPr>
          <w:rFonts w:ascii="Garamond" w:hAnsi="Garamond" w:cstheme="minorHAnsi"/>
        </w:rPr>
        <w:t xml:space="preserve"> </w:t>
      </w:r>
    </w:p>
    <w:p w14:paraId="2D16BDC0" w14:textId="77777777" w:rsidR="00A95227" w:rsidRDefault="00A95227" w:rsidP="00A95227">
      <w:pPr>
        <w:jc w:val="both"/>
        <w:rPr>
          <w:rFonts w:ascii="Garamond" w:hAnsi="Garamond" w:cstheme="minorHAnsi"/>
        </w:rPr>
      </w:pPr>
    </w:p>
    <w:p w14:paraId="5C7A3482" w14:textId="77777777" w:rsidR="00A95227" w:rsidRDefault="00A95227" w:rsidP="00A95227">
      <w:pPr>
        <w:jc w:val="both"/>
        <w:rPr>
          <w:rFonts w:ascii="Garamond" w:hAnsi="Garamond" w:cstheme="minorHAnsi"/>
        </w:rPr>
      </w:pPr>
    </w:p>
    <w:p w14:paraId="573D3D30" w14:textId="77777777" w:rsidR="00A95227" w:rsidRPr="00447A11" w:rsidRDefault="00A95227" w:rsidP="00A95227">
      <w:pPr>
        <w:jc w:val="both"/>
        <w:rPr>
          <w:rFonts w:ascii="Garamond" w:hAnsi="Garamond" w:cstheme="minorHAnsi"/>
          <w:sz w:val="22"/>
          <w:szCs w:val="22"/>
        </w:rPr>
      </w:pPr>
      <w:r w:rsidRPr="00447A11">
        <w:rPr>
          <w:rFonts w:ascii="Garamond" w:hAnsi="Garamond" w:cstheme="minorHAnsi"/>
        </w:rPr>
        <w:t>Rubric for final paper</w:t>
      </w:r>
      <w:r w:rsidRPr="00447A11">
        <w:rPr>
          <w:rFonts w:ascii="Garamond" w:hAnsi="Garamond" w:cstheme="minorHAnsi"/>
          <w:sz w:val="28"/>
          <w:szCs w:val="28"/>
        </w:rPr>
        <w:t xml:space="preserve"> </w:t>
      </w:r>
      <w:r w:rsidRPr="00447A11">
        <w:rPr>
          <w:rFonts w:ascii="Garamond" w:hAnsi="Garamond" w:cstheme="minorHAnsi"/>
          <w:sz w:val="28"/>
          <w:szCs w:val="28"/>
        </w:rPr>
        <w:tab/>
      </w:r>
      <w:r w:rsidRPr="00447A11">
        <w:rPr>
          <w:rFonts w:ascii="Garamond" w:hAnsi="Garamond" w:cstheme="minorHAnsi"/>
          <w:sz w:val="28"/>
          <w:szCs w:val="28"/>
        </w:rPr>
        <w:tab/>
      </w:r>
      <w:r w:rsidRPr="00447A11">
        <w:rPr>
          <w:rFonts w:ascii="Garamond" w:hAnsi="Garamond" w:cstheme="minorHAnsi"/>
          <w:sz w:val="28"/>
          <w:szCs w:val="28"/>
        </w:rPr>
        <w:tab/>
      </w:r>
      <w:r w:rsidRPr="00447A11">
        <w:rPr>
          <w:rFonts w:ascii="Garamond" w:hAnsi="Garamond" w:cstheme="minorHAnsi"/>
          <w:sz w:val="28"/>
          <w:szCs w:val="28"/>
        </w:rPr>
        <w:tab/>
      </w:r>
      <w:r w:rsidRPr="00447A11">
        <w:rPr>
          <w:rFonts w:ascii="Garamond" w:hAnsi="Garamond" w:cstheme="minorHAnsi"/>
          <w:sz w:val="28"/>
          <w:szCs w:val="28"/>
        </w:rPr>
        <w:tab/>
      </w:r>
      <w:r w:rsidRPr="00447A11">
        <w:rPr>
          <w:rFonts w:ascii="Garamond" w:hAnsi="Garamond" w:cstheme="minorHAnsi"/>
          <w:sz w:val="28"/>
          <w:szCs w:val="28"/>
        </w:rPr>
        <w:tab/>
      </w:r>
      <w:r w:rsidRPr="00447A11">
        <w:rPr>
          <w:rFonts w:ascii="Garamond" w:hAnsi="Garamond" w:cstheme="minorHAnsi"/>
          <w:sz w:val="28"/>
          <w:szCs w:val="28"/>
        </w:rPr>
        <w:tab/>
      </w:r>
      <w:r w:rsidRPr="00447A11">
        <w:rPr>
          <w:rFonts w:ascii="Garamond" w:hAnsi="Garamond" w:cstheme="minorHAnsi"/>
          <w:sz w:val="28"/>
          <w:szCs w:val="28"/>
        </w:rPr>
        <w:tab/>
      </w:r>
      <w:r w:rsidRPr="00447A11">
        <w:rPr>
          <w:rFonts w:ascii="Garamond" w:hAnsi="Garamond" w:cstheme="minorHAnsi"/>
          <w:sz w:val="28"/>
          <w:szCs w:val="28"/>
        </w:rPr>
        <w:tab/>
      </w:r>
      <w:r w:rsidRPr="00447A11">
        <w:rPr>
          <w:rFonts w:ascii="Garamond" w:hAnsi="Garamond" w:cstheme="minorHAnsi"/>
          <w:sz w:val="22"/>
          <w:szCs w:val="22"/>
        </w:rPr>
        <w:t>/100</w:t>
      </w:r>
    </w:p>
    <w:p w14:paraId="63612BBC" w14:textId="77777777" w:rsidR="00A95227" w:rsidRPr="00447A11" w:rsidRDefault="00A95227" w:rsidP="00A95227">
      <w:pPr>
        <w:rPr>
          <w:rFonts w:ascii="Garamond" w:hAnsi="Garamond" w:cstheme="minorHAnsi"/>
          <w:sz w:val="22"/>
          <w:szCs w:val="22"/>
        </w:rPr>
      </w:pPr>
    </w:p>
    <w:tbl>
      <w:tblPr>
        <w:tblStyle w:val="TableGrid"/>
        <w:tblW w:w="9245" w:type="dxa"/>
        <w:tblLayout w:type="fixed"/>
        <w:tblLook w:val="04A0" w:firstRow="1" w:lastRow="0" w:firstColumn="1" w:lastColumn="0" w:noHBand="0" w:noVBand="1"/>
      </w:tblPr>
      <w:tblGrid>
        <w:gridCol w:w="1407"/>
        <w:gridCol w:w="1477"/>
        <w:gridCol w:w="1825"/>
        <w:gridCol w:w="1651"/>
        <w:gridCol w:w="1651"/>
        <w:gridCol w:w="1234"/>
      </w:tblGrid>
      <w:tr w:rsidR="00A95227" w:rsidRPr="00447A11" w14:paraId="15905F00" w14:textId="77777777" w:rsidTr="00AB37AB">
        <w:trPr>
          <w:trHeight w:val="139"/>
        </w:trPr>
        <w:tc>
          <w:tcPr>
            <w:tcW w:w="1407" w:type="dxa"/>
            <w:shd w:val="clear" w:color="auto" w:fill="C1E4F5" w:themeFill="accent1" w:themeFillTint="33"/>
          </w:tcPr>
          <w:p w14:paraId="21D7A836" w14:textId="77777777" w:rsidR="00A95227" w:rsidRPr="00447A11" w:rsidRDefault="00A95227" w:rsidP="00AB37AB">
            <w:pPr>
              <w:rPr>
                <w:rFonts w:ascii="Garamond" w:hAnsi="Garamond" w:cstheme="minorHAnsi"/>
                <w:sz w:val="20"/>
                <w:szCs w:val="20"/>
              </w:rPr>
            </w:pPr>
          </w:p>
        </w:tc>
        <w:tc>
          <w:tcPr>
            <w:tcW w:w="1477" w:type="dxa"/>
            <w:shd w:val="clear" w:color="auto" w:fill="C1E4F5" w:themeFill="accent1" w:themeFillTint="33"/>
          </w:tcPr>
          <w:p w14:paraId="695CDC15"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Great</w:t>
            </w:r>
          </w:p>
        </w:tc>
        <w:tc>
          <w:tcPr>
            <w:tcW w:w="1825" w:type="dxa"/>
            <w:shd w:val="clear" w:color="auto" w:fill="C1E4F5" w:themeFill="accent1" w:themeFillTint="33"/>
          </w:tcPr>
          <w:p w14:paraId="2A7401E0"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Good</w:t>
            </w:r>
          </w:p>
        </w:tc>
        <w:tc>
          <w:tcPr>
            <w:tcW w:w="1651" w:type="dxa"/>
            <w:shd w:val="clear" w:color="auto" w:fill="C1E4F5" w:themeFill="accent1" w:themeFillTint="33"/>
          </w:tcPr>
          <w:p w14:paraId="3F78A599"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Average</w:t>
            </w:r>
          </w:p>
        </w:tc>
        <w:tc>
          <w:tcPr>
            <w:tcW w:w="1651" w:type="dxa"/>
            <w:shd w:val="clear" w:color="auto" w:fill="C1E4F5" w:themeFill="accent1" w:themeFillTint="33"/>
          </w:tcPr>
          <w:p w14:paraId="1275B367"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Poor</w:t>
            </w:r>
          </w:p>
        </w:tc>
        <w:tc>
          <w:tcPr>
            <w:tcW w:w="1234" w:type="dxa"/>
            <w:shd w:val="clear" w:color="auto" w:fill="C1E4F5" w:themeFill="accent1" w:themeFillTint="33"/>
          </w:tcPr>
          <w:p w14:paraId="48704192"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Absent</w:t>
            </w:r>
          </w:p>
        </w:tc>
      </w:tr>
      <w:tr w:rsidR="00A95227" w:rsidRPr="00447A11" w14:paraId="7E36FD8E" w14:textId="77777777" w:rsidTr="00AB37AB">
        <w:trPr>
          <w:trHeight w:val="139"/>
        </w:trPr>
        <w:tc>
          <w:tcPr>
            <w:tcW w:w="1407" w:type="dxa"/>
            <w:shd w:val="clear" w:color="auto" w:fill="C1E4F5" w:themeFill="accent1" w:themeFillTint="33"/>
          </w:tcPr>
          <w:p w14:paraId="5E99381F"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 xml:space="preserve"> </w:t>
            </w:r>
          </w:p>
        </w:tc>
        <w:tc>
          <w:tcPr>
            <w:tcW w:w="1477" w:type="dxa"/>
          </w:tcPr>
          <w:p w14:paraId="370AF526"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19-20</w:t>
            </w:r>
          </w:p>
        </w:tc>
        <w:tc>
          <w:tcPr>
            <w:tcW w:w="1825" w:type="dxa"/>
          </w:tcPr>
          <w:p w14:paraId="3A6B7E42"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16-18</w:t>
            </w:r>
          </w:p>
        </w:tc>
        <w:tc>
          <w:tcPr>
            <w:tcW w:w="1651" w:type="dxa"/>
          </w:tcPr>
          <w:p w14:paraId="48D78072"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9-15</w:t>
            </w:r>
          </w:p>
        </w:tc>
        <w:tc>
          <w:tcPr>
            <w:tcW w:w="1651" w:type="dxa"/>
          </w:tcPr>
          <w:p w14:paraId="0E67606C"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2-8</w:t>
            </w:r>
          </w:p>
        </w:tc>
        <w:tc>
          <w:tcPr>
            <w:tcW w:w="1234" w:type="dxa"/>
          </w:tcPr>
          <w:p w14:paraId="2EEABBE5"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0-1</w:t>
            </w:r>
          </w:p>
        </w:tc>
      </w:tr>
      <w:tr w:rsidR="00A95227" w:rsidRPr="00447A11" w14:paraId="7E4E628D" w14:textId="77777777" w:rsidTr="00AB37AB">
        <w:trPr>
          <w:trHeight w:val="1086"/>
        </w:trPr>
        <w:tc>
          <w:tcPr>
            <w:tcW w:w="1407" w:type="dxa"/>
            <w:shd w:val="clear" w:color="auto" w:fill="C1E4F5" w:themeFill="accent1" w:themeFillTint="33"/>
          </w:tcPr>
          <w:p w14:paraId="1EAA27B9" w14:textId="77777777" w:rsidR="00A95227" w:rsidRPr="00447A11" w:rsidRDefault="00A95227" w:rsidP="00AB37AB">
            <w:pPr>
              <w:rPr>
                <w:rFonts w:ascii="Garamond" w:hAnsi="Garamond" w:cstheme="minorHAnsi"/>
                <w:b/>
                <w:sz w:val="20"/>
                <w:szCs w:val="20"/>
              </w:rPr>
            </w:pPr>
            <w:r w:rsidRPr="00447A11">
              <w:rPr>
                <w:rFonts w:ascii="Garamond" w:hAnsi="Garamond" w:cstheme="minorHAnsi"/>
                <w:b/>
                <w:sz w:val="20"/>
                <w:szCs w:val="20"/>
              </w:rPr>
              <w:t>Analysis</w:t>
            </w:r>
          </w:p>
        </w:tc>
        <w:tc>
          <w:tcPr>
            <w:tcW w:w="1477" w:type="dxa"/>
          </w:tcPr>
          <w:p w14:paraId="00C2B6B5"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The thesis is original. Compelling ideas throughout.</w:t>
            </w:r>
          </w:p>
        </w:tc>
        <w:tc>
          <w:tcPr>
            <w:tcW w:w="1825" w:type="dxa"/>
          </w:tcPr>
          <w:p w14:paraId="48E7F0B4"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The thesis is interesting. At least one original perspective in one of the points.</w:t>
            </w:r>
          </w:p>
        </w:tc>
        <w:tc>
          <w:tcPr>
            <w:tcW w:w="1651" w:type="dxa"/>
          </w:tcPr>
          <w:p w14:paraId="050A1704"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The essay is focused on a single thesis or idea.</w:t>
            </w:r>
          </w:p>
        </w:tc>
        <w:tc>
          <w:tcPr>
            <w:tcW w:w="1651" w:type="dxa"/>
          </w:tcPr>
          <w:p w14:paraId="6F21A96D"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The thesis is split or unclear; the paper wanders off-topic.</w:t>
            </w:r>
          </w:p>
        </w:tc>
        <w:tc>
          <w:tcPr>
            <w:tcW w:w="1234" w:type="dxa"/>
          </w:tcPr>
          <w:p w14:paraId="796DA48B"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No thesis or focus. Or seems AI-generated.</w:t>
            </w:r>
          </w:p>
        </w:tc>
      </w:tr>
      <w:tr w:rsidR="00A95227" w:rsidRPr="00447A11" w14:paraId="25A3A075" w14:textId="77777777" w:rsidTr="00AB37AB">
        <w:trPr>
          <w:trHeight w:val="219"/>
        </w:trPr>
        <w:tc>
          <w:tcPr>
            <w:tcW w:w="1407" w:type="dxa"/>
            <w:shd w:val="clear" w:color="auto" w:fill="C1E4F5" w:themeFill="accent1" w:themeFillTint="33"/>
          </w:tcPr>
          <w:p w14:paraId="2027B762" w14:textId="77777777" w:rsidR="00A95227" w:rsidRPr="00447A11" w:rsidRDefault="00A95227" w:rsidP="00AB37AB">
            <w:pPr>
              <w:rPr>
                <w:rFonts w:ascii="Garamond" w:hAnsi="Garamond" w:cstheme="minorHAnsi"/>
                <w:b/>
                <w:sz w:val="20"/>
                <w:szCs w:val="20"/>
              </w:rPr>
            </w:pPr>
            <w:r w:rsidRPr="00447A11">
              <w:rPr>
                <w:rFonts w:ascii="Garamond" w:hAnsi="Garamond" w:cstheme="minorHAnsi"/>
                <w:b/>
                <w:sz w:val="20"/>
                <w:szCs w:val="20"/>
              </w:rPr>
              <w:t>Evidence</w:t>
            </w:r>
          </w:p>
        </w:tc>
        <w:tc>
          <w:tcPr>
            <w:tcW w:w="1477" w:type="dxa"/>
          </w:tcPr>
          <w:p w14:paraId="2EB2DD54"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27-30</w:t>
            </w:r>
          </w:p>
        </w:tc>
        <w:tc>
          <w:tcPr>
            <w:tcW w:w="1825" w:type="dxa"/>
          </w:tcPr>
          <w:p w14:paraId="1EE1B83C"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23-26</w:t>
            </w:r>
          </w:p>
        </w:tc>
        <w:tc>
          <w:tcPr>
            <w:tcW w:w="1651" w:type="dxa"/>
          </w:tcPr>
          <w:p w14:paraId="54658BAB"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15-22</w:t>
            </w:r>
          </w:p>
        </w:tc>
        <w:tc>
          <w:tcPr>
            <w:tcW w:w="1651" w:type="dxa"/>
          </w:tcPr>
          <w:p w14:paraId="56AC0FF6"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11-14</w:t>
            </w:r>
          </w:p>
        </w:tc>
        <w:tc>
          <w:tcPr>
            <w:tcW w:w="1234" w:type="dxa"/>
          </w:tcPr>
          <w:p w14:paraId="21ED3F57"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0-10</w:t>
            </w:r>
          </w:p>
        </w:tc>
      </w:tr>
      <w:tr w:rsidR="00A95227" w:rsidRPr="00447A11" w14:paraId="4D912ABE" w14:textId="77777777" w:rsidTr="00AB37AB">
        <w:trPr>
          <w:trHeight w:val="1305"/>
        </w:trPr>
        <w:tc>
          <w:tcPr>
            <w:tcW w:w="1407" w:type="dxa"/>
            <w:shd w:val="clear" w:color="auto" w:fill="C1E4F5" w:themeFill="accent1" w:themeFillTint="33"/>
          </w:tcPr>
          <w:p w14:paraId="114F76A8" w14:textId="77777777" w:rsidR="00A95227" w:rsidRPr="00447A11" w:rsidRDefault="00A95227" w:rsidP="00AB37AB">
            <w:pPr>
              <w:rPr>
                <w:rFonts w:ascii="Garamond" w:hAnsi="Garamond" w:cstheme="minorHAnsi"/>
                <w:sz w:val="20"/>
                <w:szCs w:val="20"/>
              </w:rPr>
            </w:pPr>
          </w:p>
        </w:tc>
        <w:tc>
          <w:tcPr>
            <w:tcW w:w="1477" w:type="dxa"/>
          </w:tcPr>
          <w:p w14:paraId="3087CFD1"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A variety of support for every claim, and it is strong, concrete, and appropriate.</w:t>
            </w:r>
          </w:p>
        </w:tc>
        <w:tc>
          <w:tcPr>
            <w:tcW w:w="1825" w:type="dxa"/>
          </w:tcPr>
          <w:p w14:paraId="653C5506"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Supporting evidence for all claims, but it is not as strong or complete in some areas.</w:t>
            </w:r>
          </w:p>
        </w:tc>
        <w:tc>
          <w:tcPr>
            <w:tcW w:w="1651" w:type="dxa"/>
          </w:tcPr>
          <w:p w14:paraId="5696A7B0"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Supporting evidence for most of the claims, but some evidence may be unrelated or vague.</w:t>
            </w:r>
          </w:p>
        </w:tc>
        <w:tc>
          <w:tcPr>
            <w:tcW w:w="1651" w:type="dxa"/>
          </w:tcPr>
          <w:p w14:paraId="6CABE2FA"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Some evidence, but in key places evidence is vague or missing.</w:t>
            </w:r>
          </w:p>
        </w:tc>
        <w:tc>
          <w:tcPr>
            <w:tcW w:w="1234" w:type="dxa"/>
          </w:tcPr>
          <w:p w14:paraId="192F7B12"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Almost no detailed evidence to support the thesis.</w:t>
            </w:r>
          </w:p>
        </w:tc>
      </w:tr>
      <w:tr w:rsidR="00A95227" w:rsidRPr="00447A11" w14:paraId="185B7054" w14:textId="77777777" w:rsidTr="00AB37AB">
        <w:trPr>
          <w:trHeight w:val="208"/>
        </w:trPr>
        <w:tc>
          <w:tcPr>
            <w:tcW w:w="1407" w:type="dxa"/>
            <w:shd w:val="clear" w:color="auto" w:fill="C1E4F5" w:themeFill="accent1" w:themeFillTint="33"/>
          </w:tcPr>
          <w:p w14:paraId="5521A69F" w14:textId="77777777" w:rsidR="00A95227" w:rsidRPr="00447A11" w:rsidRDefault="00A95227" w:rsidP="00AB37AB">
            <w:pPr>
              <w:rPr>
                <w:rFonts w:ascii="Garamond" w:hAnsi="Garamond" w:cstheme="minorHAnsi"/>
                <w:b/>
                <w:sz w:val="20"/>
                <w:szCs w:val="20"/>
              </w:rPr>
            </w:pPr>
            <w:r w:rsidRPr="00447A11">
              <w:rPr>
                <w:rFonts w:ascii="Garamond" w:hAnsi="Garamond" w:cstheme="minorHAnsi"/>
                <w:b/>
                <w:sz w:val="20"/>
                <w:szCs w:val="20"/>
              </w:rPr>
              <w:t>Organization</w:t>
            </w:r>
          </w:p>
        </w:tc>
        <w:tc>
          <w:tcPr>
            <w:tcW w:w="1477" w:type="dxa"/>
          </w:tcPr>
          <w:p w14:paraId="0701F550"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19-20</w:t>
            </w:r>
          </w:p>
        </w:tc>
        <w:tc>
          <w:tcPr>
            <w:tcW w:w="1825" w:type="dxa"/>
          </w:tcPr>
          <w:p w14:paraId="712C9F7A"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16-18</w:t>
            </w:r>
          </w:p>
        </w:tc>
        <w:tc>
          <w:tcPr>
            <w:tcW w:w="1651" w:type="dxa"/>
          </w:tcPr>
          <w:p w14:paraId="57EF0BF9"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13-15</w:t>
            </w:r>
          </w:p>
        </w:tc>
        <w:tc>
          <w:tcPr>
            <w:tcW w:w="1651" w:type="dxa"/>
          </w:tcPr>
          <w:p w14:paraId="08AB24A7"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7-12</w:t>
            </w:r>
          </w:p>
        </w:tc>
        <w:tc>
          <w:tcPr>
            <w:tcW w:w="1234" w:type="dxa"/>
          </w:tcPr>
          <w:p w14:paraId="28A9E24D"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0-6</w:t>
            </w:r>
          </w:p>
        </w:tc>
      </w:tr>
      <w:tr w:rsidR="00A95227" w:rsidRPr="00447A11" w14:paraId="74858333" w14:textId="77777777" w:rsidTr="00AB37AB">
        <w:trPr>
          <w:trHeight w:val="3270"/>
        </w:trPr>
        <w:tc>
          <w:tcPr>
            <w:tcW w:w="1407" w:type="dxa"/>
            <w:shd w:val="clear" w:color="auto" w:fill="C1E4F5" w:themeFill="accent1" w:themeFillTint="33"/>
          </w:tcPr>
          <w:p w14:paraId="06F0FD84" w14:textId="77777777" w:rsidR="00A95227" w:rsidRPr="00447A11" w:rsidRDefault="00A95227" w:rsidP="00AB37AB">
            <w:pPr>
              <w:rPr>
                <w:rFonts w:ascii="Garamond" w:hAnsi="Garamond" w:cstheme="minorHAnsi"/>
                <w:sz w:val="20"/>
                <w:szCs w:val="20"/>
              </w:rPr>
            </w:pPr>
          </w:p>
        </w:tc>
        <w:tc>
          <w:tcPr>
            <w:tcW w:w="1477" w:type="dxa"/>
          </w:tcPr>
          <w:p w14:paraId="663A70DD"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Each paragraph is focused and in the proper order. Introduction and conclusion are complementary. Excellent transitions. In the main, content and not vocabulary, achieves the transition.</w:t>
            </w:r>
          </w:p>
        </w:tc>
        <w:tc>
          <w:tcPr>
            <w:tcW w:w="1825" w:type="dxa"/>
          </w:tcPr>
          <w:p w14:paraId="6B08CC2A"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Each part of the paper is engaging, but better transitions, more/fewer paragraphs, stronger conclusion are needed.</w:t>
            </w:r>
          </w:p>
        </w:tc>
        <w:tc>
          <w:tcPr>
            <w:tcW w:w="1651" w:type="dxa"/>
          </w:tcPr>
          <w:p w14:paraId="4B8D4717"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Clear introduction, body, and conclusion, but some paragraphs may need to be focused or moved.</w:t>
            </w:r>
          </w:p>
        </w:tc>
        <w:tc>
          <w:tcPr>
            <w:tcW w:w="1651" w:type="dxa"/>
          </w:tcPr>
          <w:p w14:paraId="05ED237D"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Some organization, but the paper is “jumpy” without a clear introduction and conclusion.  Paragraphs are not focused or out of order.</w:t>
            </w:r>
          </w:p>
        </w:tc>
        <w:tc>
          <w:tcPr>
            <w:tcW w:w="1234" w:type="dxa"/>
          </w:tcPr>
          <w:p w14:paraId="757715A0"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Little or no organization.</w:t>
            </w:r>
          </w:p>
        </w:tc>
      </w:tr>
      <w:tr w:rsidR="00A95227" w:rsidRPr="00447A11" w14:paraId="1B98591F" w14:textId="77777777" w:rsidTr="00AB37AB">
        <w:trPr>
          <w:trHeight w:val="439"/>
        </w:trPr>
        <w:tc>
          <w:tcPr>
            <w:tcW w:w="1407" w:type="dxa"/>
            <w:shd w:val="clear" w:color="auto" w:fill="C1E4F5" w:themeFill="accent1" w:themeFillTint="33"/>
          </w:tcPr>
          <w:p w14:paraId="410720E8" w14:textId="77777777" w:rsidR="00A95227" w:rsidRPr="00447A11" w:rsidRDefault="00A95227" w:rsidP="00AB37AB">
            <w:pPr>
              <w:rPr>
                <w:rFonts w:ascii="Garamond" w:hAnsi="Garamond" w:cstheme="minorHAnsi"/>
                <w:b/>
                <w:sz w:val="20"/>
                <w:szCs w:val="20"/>
              </w:rPr>
            </w:pPr>
            <w:r w:rsidRPr="00447A11">
              <w:rPr>
                <w:rFonts w:ascii="Garamond" w:hAnsi="Garamond" w:cstheme="minorHAnsi"/>
                <w:b/>
                <w:sz w:val="20"/>
                <w:szCs w:val="20"/>
              </w:rPr>
              <w:t xml:space="preserve">Language </w:t>
            </w:r>
          </w:p>
        </w:tc>
        <w:tc>
          <w:tcPr>
            <w:tcW w:w="1477" w:type="dxa"/>
          </w:tcPr>
          <w:p w14:paraId="498634FB"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10</w:t>
            </w:r>
          </w:p>
        </w:tc>
        <w:tc>
          <w:tcPr>
            <w:tcW w:w="1825" w:type="dxa"/>
          </w:tcPr>
          <w:p w14:paraId="3CAB4CB6"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8-9</w:t>
            </w:r>
          </w:p>
        </w:tc>
        <w:tc>
          <w:tcPr>
            <w:tcW w:w="1651" w:type="dxa"/>
          </w:tcPr>
          <w:p w14:paraId="12AABF8E"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6-7</w:t>
            </w:r>
          </w:p>
        </w:tc>
        <w:tc>
          <w:tcPr>
            <w:tcW w:w="1651" w:type="dxa"/>
          </w:tcPr>
          <w:p w14:paraId="3B837178"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4-5</w:t>
            </w:r>
          </w:p>
        </w:tc>
        <w:tc>
          <w:tcPr>
            <w:tcW w:w="1234" w:type="dxa"/>
          </w:tcPr>
          <w:p w14:paraId="3CA4DBFD"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0-3</w:t>
            </w:r>
          </w:p>
        </w:tc>
      </w:tr>
      <w:tr w:rsidR="00A95227" w:rsidRPr="00447A11" w14:paraId="2B2CA19F" w14:textId="77777777" w:rsidTr="00AB37AB">
        <w:trPr>
          <w:trHeight w:val="2392"/>
        </w:trPr>
        <w:tc>
          <w:tcPr>
            <w:tcW w:w="1407" w:type="dxa"/>
            <w:shd w:val="clear" w:color="auto" w:fill="C1E4F5" w:themeFill="accent1" w:themeFillTint="33"/>
          </w:tcPr>
          <w:p w14:paraId="3E9FB66E" w14:textId="77777777" w:rsidR="00A95227" w:rsidRPr="00447A11" w:rsidRDefault="00A95227" w:rsidP="00AB37AB">
            <w:pPr>
              <w:rPr>
                <w:rFonts w:ascii="Garamond" w:hAnsi="Garamond" w:cstheme="minorHAnsi"/>
                <w:sz w:val="20"/>
                <w:szCs w:val="20"/>
              </w:rPr>
            </w:pPr>
          </w:p>
        </w:tc>
        <w:tc>
          <w:tcPr>
            <w:tcW w:w="1477" w:type="dxa"/>
          </w:tcPr>
          <w:p w14:paraId="10266E55"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Creative word choice and sentence structure enhance the meaning and focus of the paper. Special attention to precise verbs. Avoids cliché.</w:t>
            </w:r>
          </w:p>
        </w:tc>
        <w:tc>
          <w:tcPr>
            <w:tcW w:w="1825" w:type="dxa"/>
          </w:tcPr>
          <w:p w14:paraId="2D637A96"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 xml:space="preserve">The language is clear with complex sentence structure but contains minor grammatical errors. </w:t>
            </w:r>
          </w:p>
        </w:tc>
        <w:tc>
          <w:tcPr>
            <w:tcW w:w="1651" w:type="dxa"/>
          </w:tcPr>
          <w:p w14:paraId="5C629FD0"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 xml:space="preserve">Writing is clear, but sentence structures are simple or repetitive; or repeated grammatical errors. </w:t>
            </w:r>
          </w:p>
        </w:tc>
        <w:tc>
          <w:tcPr>
            <w:tcW w:w="1651" w:type="dxa"/>
          </w:tcPr>
          <w:p w14:paraId="4E99C7CD"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Grammatical mistakes slightly interfere with the meaning of the paper. Basic and imprecise verbs. Or excessively informal expression.</w:t>
            </w:r>
          </w:p>
        </w:tc>
        <w:tc>
          <w:tcPr>
            <w:tcW w:w="1234" w:type="dxa"/>
          </w:tcPr>
          <w:p w14:paraId="7C92EA1F"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Frequent and serious grammatical mistakes make the meaning unclear.</w:t>
            </w:r>
          </w:p>
        </w:tc>
      </w:tr>
      <w:tr w:rsidR="00A95227" w:rsidRPr="00447A11" w14:paraId="1315B353" w14:textId="77777777" w:rsidTr="00AB37AB">
        <w:trPr>
          <w:trHeight w:val="208"/>
        </w:trPr>
        <w:tc>
          <w:tcPr>
            <w:tcW w:w="1407" w:type="dxa"/>
            <w:shd w:val="clear" w:color="auto" w:fill="C1E4F5" w:themeFill="accent1" w:themeFillTint="33"/>
          </w:tcPr>
          <w:p w14:paraId="6A411C10" w14:textId="77777777" w:rsidR="00A95227" w:rsidRPr="00447A11" w:rsidRDefault="00A95227" w:rsidP="00AB37AB">
            <w:pPr>
              <w:rPr>
                <w:rFonts w:ascii="Garamond" w:hAnsi="Garamond" w:cstheme="minorHAnsi"/>
                <w:b/>
                <w:sz w:val="20"/>
                <w:szCs w:val="20"/>
              </w:rPr>
            </w:pPr>
            <w:r w:rsidRPr="00447A11">
              <w:rPr>
                <w:rFonts w:ascii="Garamond" w:hAnsi="Garamond" w:cstheme="minorHAnsi"/>
                <w:b/>
                <w:sz w:val="20"/>
                <w:szCs w:val="20"/>
              </w:rPr>
              <w:t>Style/Voice</w:t>
            </w:r>
          </w:p>
        </w:tc>
        <w:tc>
          <w:tcPr>
            <w:tcW w:w="1477" w:type="dxa"/>
          </w:tcPr>
          <w:p w14:paraId="5EDE80B4"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9-10</w:t>
            </w:r>
          </w:p>
        </w:tc>
        <w:tc>
          <w:tcPr>
            <w:tcW w:w="1825" w:type="dxa"/>
          </w:tcPr>
          <w:p w14:paraId="18FC7300"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8-9</w:t>
            </w:r>
          </w:p>
        </w:tc>
        <w:tc>
          <w:tcPr>
            <w:tcW w:w="1651" w:type="dxa"/>
          </w:tcPr>
          <w:p w14:paraId="27D49946"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6-7</w:t>
            </w:r>
          </w:p>
        </w:tc>
        <w:tc>
          <w:tcPr>
            <w:tcW w:w="1651" w:type="dxa"/>
          </w:tcPr>
          <w:p w14:paraId="2208D6D7"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4-5</w:t>
            </w:r>
          </w:p>
        </w:tc>
        <w:tc>
          <w:tcPr>
            <w:tcW w:w="1234" w:type="dxa"/>
          </w:tcPr>
          <w:p w14:paraId="4826C9BA"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0-3</w:t>
            </w:r>
          </w:p>
        </w:tc>
      </w:tr>
      <w:tr w:rsidR="00A95227" w:rsidRPr="00447A11" w14:paraId="40EB3A66" w14:textId="77777777" w:rsidTr="00AB37AB">
        <w:trPr>
          <w:trHeight w:val="1525"/>
        </w:trPr>
        <w:tc>
          <w:tcPr>
            <w:tcW w:w="1407" w:type="dxa"/>
            <w:shd w:val="clear" w:color="auto" w:fill="C1E4F5" w:themeFill="accent1" w:themeFillTint="33"/>
          </w:tcPr>
          <w:p w14:paraId="428D26F5" w14:textId="77777777" w:rsidR="00A95227" w:rsidRPr="00447A11" w:rsidRDefault="00A95227" w:rsidP="00AB37AB">
            <w:pPr>
              <w:rPr>
                <w:rFonts w:ascii="Garamond" w:hAnsi="Garamond" w:cstheme="minorHAnsi"/>
                <w:sz w:val="20"/>
                <w:szCs w:val="20"/>
              </w:rPr>
            </w:pPr>
          </w:p>
        </w:tc>
        <w:tc>
          <w:tcPr>
            <w:tcW w:w="1477" w:type="dxa"/>
          </w:tcPr>
          <w:p w14:paraId="3C1C5A7F"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A keen sense of the intended audience. The author’s voice and the writing convey passion.</w:t>
            </w:r>
          </w:p>
        </w:tc>
        <w:tc>
          <w:tcPr>
            <w:tcW w:w="1825" w:type="dxa"/>
          </w:tcPr>
          <w:p w14:paraId="26C89DA5"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The paper addresses the audience appropriately and is engaging with a strong sense of voice.</w:t>
            </w:r>
          </w:p>
        </w:tc>
        <w:tc>
          <w:tcPr>
            <w:tcW w:w="1651" w:type="dxa"/>
          </w:tcPr>
          <w:p w14:paraId="79547ECE"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Essay addresses the audience appropriately with some examples of creative expression.</w:t>
            </w:r>
          </w:p>
        </w:tc>
        <w:tc>
          <w:tcPr>
            <w:tcW w:w="1651" w:type="dxa"/>
          </w:tcPr>
          <w:p w14:paraId="3991AA0F"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Writing is general with little sense of the audience or communication of the writer’s voice or passion.</w:t>
            </w:r>
          </w:p>
        </w:tc>
        <w:tc>
          <w:tcPr>
            <w:tcW w:w="1234" w:type="dxa"/>
          </w:tcPr>
          <w:p w14:paraId="2435D9A4"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Writing is general with no sense of either the writer or audience. Robotic.</w:t>
            </w:r>
          </w:p>
        </w:tc>
      </w:tr>
      <w:tr w:rsidR="00A95227" w:rsidRPr="00447A11" w14:paraId="3FAE5E69" w14:textId="77777777" w:rsidTr="00AB37AB">
        <w:trPr>
          <w:trHeight w:val="219"/>
        </w:trPr>
        <w:tc>
          <w:tcPr>
            <w:tcW w:w="1407" w:type="dxa"/>
            <w:shd w:val="clear" w:color="auto" w:fill="C1E4F5" w:themeFill="accent1" w:themeFillTint="33"/>
          </w:tcPr>
          <w:p w14:paraId="1B2C4262" w14:textId="77777777" w:rsidR="00A95227" w:rsidRPr="00447A11" w:rsidRDefault="00A95227" w:rsidP="00AB37AB">
            <w:pPr>
              <w:rPr>
                <w:rFonts w:ascii="Garamond" w:hAnsi="Garamond" w:cstheme="minorHAnsi"/>
                <w:b/>
                <w:sz w:val="20"/>
                <w:szCs w:val="20"/>
              </w:rPr>
            </w:pPr>
            <w:r w:rsidRPr="00447A11">
              <w:rPr>
                <w:rFonts w:ascii="Garamond" w:hAnsi="Garamond" w:cstheme="minorHAnsi"/>
                <w:b/>
                <w:sz w:val="20"/>
                <w:szCs w:val="20"/>
              </w:rPr>
              <w:t>Citations</w:t>
            </w:r>
          </w:p>
        </w:tc>
        <w:tc>
          <w:tcPr>
            <w:tcW w:w="1477" w:type="dxa"/>
          </w:tcPr>
          <w:p w14:paraId="0BFB6F97"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10</w:t>
            </w:r>
          </w:p>
        </w:tc>
        <w:tc>
          <w:tcPr>
            <w:tcW w:w="1825" w:type="dxa"/>
          </w:tcPr>
          <w:p w14:paraId="47F499FE"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9</w:t>
            </w:r>
          </w:p>
        </w:tc>
        <w:tc>
          <w:tcPr>
            <w:tcW w:w="1651" w:type="dxa"/>
          </w:tcPr>
          <w:p w14:paraId="0DC49093"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7-8</w:t>
            </w:r>
          </w:p>
        </w:tc>
        <w:tc>
          <w:tcPr>
            <w:tcW w:w="1651" w:type="dxa"/>
          </w:tcPr>
          <w:p w14:paraId="48EB0F13"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4-6</w:t>
            </w:r>
          </w:p>
        </w:tc>
        <w:tc>
          <w:tcPr>
            <w:tcW w:w="1234" w:type="dxa"/>
          </w:tcPr>
          <w:p w14:paraId="7CAE242A"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0-3</w:t>
            </w:r>
          </w:p>
        </w:tc>
      </w:tr>
      <w:tr w:rsidR="00A95227" w:rsidRPr="00447A11" w14:paraId="63ECB751" w14:textId="77777777" w:rsidTr="00AB37AB">
        <w:trPr>
          <w:trHeight w:val="1080"/>
        </w:trPr>
        <w:tc>
          <w:tcPr>
            <w:tcW w:w="1407" w:type="dxa"/>
            <w:shd w:val="clear" w:color="auto" w:fill="C1E4F5" w:themeFill="accent1" w:themeFillTint="33"/>
          </w:tcPr>
          <w:p w14:paraId="1F68C56D" w14:textId="77777777" w:rsidR="00A95227" w:rsidRPr="00447A11" w:rsidRDefault="00A95227" w:rsidP="00AB37AB">
            <w:pPr>
              <w:rPr>
                <w:rFonts w:ascii="Garamond" w:hAnsi="Garamond" w:cstheme="minorHAnsi"/>
                <w:sz w:val="20"/>
                <w:szCs w:val="20"/>
              </w:rPr>
            </w:pPr>
          </w:p>
        </w:tc>
        <w:tc>
          <w:tcPr>
            <w:tcW w:w="1477" w:type="dxa"/>
          </w:tcPr>
          <w:p w14:paraId="116AB3ED"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All evidence is well cited in appropriate format.</w:t>
            </w:r>
          </w:p>
        </w:tc>
        <w:tc>
          <w:tcPr>
            <w:tcW w:w="1825" w:type="dxa"/>
          </w:tcPr>
          <w:p w14:paraId="45854FF5"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All evidence is cited, but with minor format errors.</w:t>
            </w:r>
          </w:p>
        </w:tc>
        <w:tc>
          <w:tcPr>
            <w:tcW w:w="1651" w:type="dxa"/>
          </w:tcPr>
          <w:p w14:paraId="26594113"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Good citations but not enough of them.</w:t>
            </w:r>
          </w:p>
        </w:tc>
        <w:tc>
          <w:tcPr>
            <w:tcW w:w="1651" w:type="dxa"/>
          </w:tcPr>
          <w:p w14:paraId="49222BED"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Some citations but either incomplete or inappropriate.</w:t>
            </w:r>
          </w:p>
        </w:tc>
        <w:tc>
          <w:tcPr>
            <w:tcW w:w="1234" w:type="dxa"/>
          </w:tcPr>
          <w:p w14:paraId="3EFBFB83" w14:textId="77777777" w:rsidR="00A95227" w:rsidRPr="00447A11" w:rsidRDefault="00A95227" w:rsidP="00AB37AB">
            <w:pPr>
              <w:rPr>
                <w:rFonts w:ascii="Garamond" w:hAnsi="Garamond" w:cstheme="minorHAnsi"/>
                <w:sz w:val="20"/>
                <w:szCs w:val="20"/>
              </w:rPr>
            </w:pPr>
            <w:r w:rsidRPr="00447A11">
              <w:rPr>
                <w:rFonts w:ascii="Garamond" w:hAnsi="Garamond" w:cstheme="minorHAnsi"/>
                <w:sz w:val="20"/>
                <w:szCs w:val="20"/>
              </w:rPr>
              <w:t>Almost entirely without citations. Or AI-generated content.</w:t>
            </w:r>
          </w:p>
        </w:tc>
      </w:tr>
    </w:tbl>
    <w:p w14:paraId="0B417964" w14:textId="77777777" w:rsidR="00A95227" w:rsidRDefault="00A95227" w:rsidP="00A95227">
      <w:pPr>
        <w:rPr>
          <w:rFonts w:ascii="Garamond" w:eastAsia="Garamond" w:hAnsi="Garamond" w:cs="Garamond"/>
          <w:b/>
        </w:rPr>
      </w:pPr>
    </w:p>
    <w:p w14:paraId="69DAB86F" w14:textId="77777777" w:rsidR="00A95227" w:rsidRDefault="00A95227" w:rsidP="00A95227">
      <w:pPr>
        <w:rPr>
          <w:rFonts w:ascii="Garamond" w:eastAsia="Garamond" w:hAnsi="Garamond" w:cs="Garamond"/>
          <w:bCs/>
        </w:rPr>
      </w:pPr>
      <w:r>
        <w:rPr>
          <w:rFonts w:ascii="Garamond" w:eastAsia="Garamond" w:hAnsi="Garamond" w:cs="Garamond"/>
          <w:b/>
        </w:rPr>
        <w:t xml:space="preserve">IMPORTANT: </w:t>
      </w:r>
      <w:r>
        <w:rPr>
          <w:rFonts w:ascii="Garamond" w:eastAsia="Garamond" w:hAnsi="Garamond" w:cs="Garamond"/>
          <w:bCs/>
        </w:rPr>
        <w:t xml:space="preserve">If I notice that a student’s writing is in need of improvement prior to the final assignment, I may refer them to the UF Writing Studio. This is not meant as a punishment, and it is not a requirement, just a recommendation. On-campus resources are available so that we can all continue to improve our skills; there is no shame in needing a little extra help. Working with the Writing Studio will allow you to workshop drafts, improve sentence structure, clarify grammatical issues, and get a handle on organization. I strongly suggest availing yourself of this FREE resource to get your writing in top shape! </w:t>
      </w:r>
    </w:p>
    <w:p w14:paraId="06E262A1" w14:textId="77777777" w:rsidR="00A95227" w:rsidRDefault="00A95227" w:rsidP="00A95227">
      <w:pPr>
        <w:rPr>
          <w:rFonts w:ascii="Garamond" w:eastAsia="Garamond" w:hAnsi="Garamond" w:cs="Garamond"/>
          <w:bCs/>
        </w:rPr>
      </w:pPr>
    </w:p>
    <w:p w14:paraId="35EE67F8" w14:textId="77777777" w:rsidR="00A95227" w:rsidRPr="00F12C9D" w:rsidRDefault="00A95227" w:rsidP="00A95227">
      <w:pPr>
        <w:rPr>
          <w:rFonts w:ascii="Garamond" w:eastAsia="Garamond" w:hAnsi="Garamond" w:cs="Garamond"/>
          <w:bCs/>
        </w:rPr>
      </w:pPr>
      <w:r w:rsidRPr="00F12C9D">
        <w:rPr>
          <w:rFonts w:ascii="Garamond" w:eastAsia="Garamond" w:hAnsi="Garamond" w:cs="Garamond"/>
          <w:bCs/>
        </w:rPr>
        <w:t xml:space="preserve">Writing Studio: </w:t>
      </w:r>
      <w:r w:rsidRPr="00F12C9D">
        <w:rPr>
          <w:rFonts w:ascii="Garamond" w:hAnsi="Garamond"/>
        </w:rPr>
        <w:t xml:space="preserve">2215 Turlington Hall, 352-846-1138, </w:t>
      </w:r>
      <w:hyperlink r:id="rId15" w:history="1">
        <w:r w:rsidRPr="00F12C9D">
          <w:rPr>
            <w:rStyle w:val="Hyperlink"/>
            <w:rFonts w:ascii="Garamond" w:hAnsi="Garamond"/>
          </w:rPr>
          <w:t>https://writing.ufl.edu/writing-studio/</w:t>
        </w:r>
      </w:hyperlink>
      <w:r w:rsidRPr="00F12C9D">
        <w:rPr>
          <w:rFonts w:ascii="Garamond" w:hAnsi="Garamond"/>
        </w:rPr>
        <w:t xml:space="preserve"> </w:t>
      </w:r>
    </w:p>
    <w:p w14:paraId="161778C0" w14:textId="77777777" w:rsidR="00A95227" w:rsidRDefault="00A95227" w:rsidP="00A95227">
      <w:pPr>
        <w:rPr>
          <w:rFonts w:ascii="Garamond" w:eastAsia="Garamond" w:hAnsi="Garamond" w:cs="Garamond"/>
          <w:b/>
        </w:rPr>
      </w:pPr>
    </w:p>
    <w:p w14:paraId="1D80278F" w14:textId="77777777" w:rsidR="00A95227" w:rsidRDefault="00A95227" w:rsidP="00A95227">
      <w:pPr>
        <w:rPr>
          <w:rFonts w:ascii="Garamond" w:eastAsia="Garamond" w:hAnsi="Garamond" w:cs="Garamond"/>
          <w:b/>
        </w:rPr>
      </w:pPr>
      <w:r>
        <w:rPr>
          <w:rFonts w:ascii="Garamond" w:eastAsia="Garamond" w:hAnsi="Garamond" w:cs="Garamond"/>
          <w:b/>
        </w:rPr>
        <w:t>Course Schedule:</w:t>
      </w:r>
    </w:p>
    <w:p w14:paraId="587A4934" w14:textId="77777777" w:rsidR="00A95227" w:rsidRDefault="00A95227" w:rsidP="00A95227">
      <w:pPr>
        <w:rPr>
          <w:rFonts w:ascii="Garamond" w:eastAsia="Garamond" w:hAnsi="Garamond" w:cs="Garamond"/>
        </w:rPr>
      </w:pPr>
    </w:p>
    <w:p w14:paraId="665728D4" w14:textId="77777777" w:rsidR="00A95227" w:rsidRDefault="00A95227" w:rsidP="00A95227">
      <w:pPr>
        <w:rPr>
          <w:rFonts w:ascii="Garamond" w:eastAsia="Garamond" w:hAnsi="Garamond" w:cs="Garamond"/>
        </w:rPr>
      </w:pPr>
      <w:r>
        <w:rPr>
          <w:rFonts w:ascii="Garamond" w:eastAsia="Garamond" w:hAnsi="Garamond" w:cs="Garamond"/>
          <w:b/>
        </w:rPr>
        <w:t>PART I - INTRODUCTION TO THE FIELD OF GENDER HISTORY/THEORY AND METHODS:</w:t>
      </w:r>
      <w:r>
        <w:rPr>
          <w:rFonts w:ascii="Garamond" w:eastAsia="Garamond" w:hAnsi="Garamond" w:cs="Garamond"/>
          <w:b/>
          <w:i/>
        </w:rPr>
        <w:t xml:space="preserve"> </w:t>
      </w:r>
      <w:r>
        <w:rPr>
          <w:rFonts w:ascii="Garamond" w:eastAsia="Garamond" w:hAnsi="Garamond" w:cs="Garamond"/>
        </w:rPr>
        <w:t>In the first week, we will familiarize ourselves with gender as a category of historical analysis, discuss feminist methodologies, and consider the general project of revisionist history.</w:t>
      </w:r>
    </w:p>
    <w:p w14:paraId="38C63E28" w14:textId="77777777" w:rsidR="00A95227" w:rsidRDefault="00A95227" w:rsidP="00A95227">
      <w:pPr>
        <w:rPr>
          <w:rFonts w:ascii="Garamond" w:eastAsia="Garamond" w:hAnsi="Garamond" w:cs="Garamond"/>
        </w:rPr>
      </w:pPr>
    </w:p>
    <w:p w14:paraId="284B6903" w14:textId="77777777" w:rsidR="00A95227" w:rsidRPr="00447A11" w:rsidRDefault="00A95227" w:rsidP="00A95227">
      <w:pPr>
        <w:rPr>
          <w:rFonts w:ascii="Garamond" w:eastAsia="Garamond" w:hAnsi="Garamond" w:cs="Garamond"/>
        </w:rPr>
      </w:pPr>
      <w:r>
        <w:rPr>
          <w:rFonts w:ascii="Garamond" w:eastAsia="Garamond" w:hAnsi="Garamond" w:cs="Garamond"/>
          <w:b/>
          <w:bCs/>
        </w:rPr>
        <w:t xml:space="preserve">*Note* </w:t>
      </w:r>
      <w:r>
        <w:rPr>
          <w:rFonts w:ascii="Garamond" w:eastAsia="Garamond" w:hAnsi="Garamond" w:cs="Garamond"/>
        </w:rPr>
        <w:t>If possible, read the assigned texts in the order in which they appear on the syllabus. Doing so may facilitate greater understanding of the material.</w:t>
      </w:r>
    </w:p>
    <w:p w14:paraId="700861D1" w14:textId="77777777" w:rsidR="00A95227" w:rsidRDefault="00A95227" w:rsidP="00A95227">
      <w:pPr>
        <w:rPr>
          <w:rFonts w:ascii="Garamond" w:eastAsia="Garamond" w:hAnsi="Garamond" w:cs="Garamond"/>
        </w:rPr>
      </w:pPr>
    </w:p>
    <w:p w14:paraId="0C9D84F1" w14:textId="77777777" w:rsidR="00A95227" w:rsidRDefault="00A95227" w:rsidP="00A95227">
      <w:pPr>
        <w:rPr>
          <w:rFonts w:ascii="Garamond" w:eastAsia="Garamond" w:hAnsi="Garamond" w:cs="Garamond"/>
          <w:b/>
        </w:rPr>
      </w:pPr>
      <w:r>
        <w:rPr>
          <w:rFonts w:ascii="Garamond" w:eastAsia="Garamond" w:hAnsi="Garamond" w:cs="Garamond"/>
          <w:b/>
        </w:rPr>
        <w:t>August 25, Week 1: Course Introduction + Gender and History</w:t>
      </w:r>
    </w:p>
    <w:p w14:paraId="1201C854" w14:textId="77777777" w:rsidR="00A95227" w:rsidRPr="00447A11"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Joan W. Scott, “Gender: A Useful Category of Historical Analysis,” </w:t>
      </w:r>
      <w:r>
        <w:rPr>
          <w:rFonts w:ascii="Garamond" w:eastAsia="Garamond" w:hAnsi="Garamond" w:cs="Garamond"/>
          <w:i/>
          <w:color w:val="000000"/>
        </w:rPr>
        <w:t xml:space="preserve">The American Historical Review, </w:t>
      </w:r>
      <w:r>
        <w:rPr>
          <w:rFonts w:ascii="Garamond" w:eastAsia="Garamond" w:hAnsi="Garamond" w:cs="Garamond"/>
          <w:color w:val="000000"/>
        </w:rPr>
        <w:t>p. 1053-1075</w:t>
      </w:r>
    </w:p>
    <w:p w14:paraId="696EE986" w14:textId="77777777" w:rsidR="00A95227"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Michel-Rolph Trouillot, </w:t>
      </w:r>
      <w:r>
        <w:rPr>
          <w:rFonts w:ascii="Garamond" w:eastAsia="Garamond" w:hAnsi="Garamond" w:cs="Garamond"/>
          <w:i/>
          <w:color w:val="000000"/>
        </w:rPr>
        <w:t>Silencing the Past: Power and the Production of History</w:t>
      </w:r>
      <w:r>
        <w:rPr>
          <w:rFonts w:ascii="Garamond" w:eastAsia="Garamond" w:hAnsi="Garamond" w:cs="Garamond"/>
          <w:color w:val="000000"/>
        </w:rPr>
        <w:t>, Chapter 1, p. 1-30</w:t>
      </w:r>
    </w:p>
    <w:p w14:paraId="5F019D8F" w14:textId="77777777" w:rsidR="00A95227" w:rsidRDefault="00A95227" w:rsidP="00A95227">
      <w:pPr>
        <w:numPr>
          <w:ilvl w:val="0"/>
          <w:numId w:val="2"/>
        </w:numPr>
        <w:rPr>
          <w:rFonts w:ascii="Garamond" w:eastAsia="Garamond" w:hAnsi="Garamond" w:cs="Garamond"/>
        </w:rPr>
      </w:pPr>
      <w:r>
        <w:rPr>
          <w:rFonts w:ascii="Garamond" w:eastAsia="Garamond" w:hAnsi="Garamond" w:cs="Garamond"/>
        </w:rPr>
        <w:lastRenderedPageBreak/>
        <w:t xml:space="preserve">Kathryn M. Smith. “Female Voice and Feminist Text: Testimonio as a Form of Resistance in Latin America,” </w:t>
      </w:r>
      <w:r>
        <w:rPr>
          <w:rFonts w:ascii="Garamond" w:eastAsia="Garamond" w:hAnsi="Garamond" w:cs="Garamond"/>
          <w:i/>
        </w:rPr>
        <w:t xml:space="preserve">Florida Atlantic Comparative Studies Journal, </w:t>
      </w:r>
      <w:r>
        <w:rPr>
          <w:rFonts w:ascii="Garamond" w:eastAsia="Garamond" w:hAnsi="Garamond" w:cs="Garamond"/>
        </w:rPr>
        <w:t>p. 22-38</w:t>
      </w:r>
    </w:p>
    <w:p w14:paraId="5C0655A8" w14:textId="77777777" w:rsidR="00A95227" w:rsidRDefault="00A95227" w:rsidP="00A95227">
      <w:pPr>
        <w:rPr>
          <w:rFonts w:ascii="Garamond" w:eastAsia="Garamond" w:hAnsi="Garamond" w:cs="Garamond"/>
        </w:rPr>
      </w:pPr>
    </w:p>
    <w:p w14:paraId="7A10FEA5" w14:textId="77777777" w:rsidR="00A95227" w:rsidRDefault="00A95227" w:rsidP="00A95227">
      <w:pPr>
        <w:rPr>
          <w:rFonts w:ascii="Garamond" w:eastAsia="Garamond" w:hAnsi="Garamond" w:cs="Garamond"/>
        </w:rPr>
      </w:pPr>
      <w:r>
        <w:rPr>
          <w:rFonts w:ascii="Garamond" w:eastAsia="Garamond" w:hAnsi="Garamond" w:cs="Garamond"/>
          <w:b/>
        </w:rPr>
        <w:t xml:space="preserve">PART II - COUNTRY CASE STUDIES: </w:t>
      </w:r>
      <w:r>
        <w:rPr>
          <w:rFonts w:ascii="Garamond" w:eastAsia="Garamond" w:hAnsi="Garamond" w:cs="Garamond"/>
        </w:rPr>
        <w:t xml:space="preserve">In this portion of the course, we will examine countries that experienced significant political conflicts during what historian Gilbert Joseph calls “Latin America’s long Cold War.” Specifically, we will look at how women and LGBTQ people participated in these conflicts and how their perspectives can serve to complicate conventional historiographies. Each week, we will examine primary sources in class. </w:t>
      </w:r>
    </w:p>
    <w:p w14:paraId="7906005E" w14:textId="77777777" w:rsidR="00A95227" w:rsidRDefault="00A95227" w:rsidP="00A95227">
      <w:pPr>
        <w:rPr>
          <w:rFonts w:ascii="Garamond" w:eastAsia="Garamond" w:hAnsi="Garamond" w:cs="Garamond"/>
        </w:rPr>
      </w:pPr>
    </w:p>
    <w:p w14:paraId="7648FCB9" w14:textId="319B6B2E" w:rsidR="00A95227" w:rsidRDefault="00A95227" w:rsidP="00A95227">
      <w:pPr>
        <w:rPr>
          <w:rFonts w:ascii="Garamond" w:eastAsia="Garamond" w:hAnsi="Garamond" w:cs="Garamond"/>
          <w:b/>
        </w:rPr>
      </w:pPr>
      <w:r>
        <w:rPr>
          <w:rFonts w:ascii="Garamond" w:eastAsia="Garamond" w:hAnsi="Garamond" w:cs="Garamond"/>
          <w:b/>
        </w:rPr>
        <w:t xml:space="preserve">September </w:t>
      </w:r>
      <w:r w:rsidR="00DF47D0">
        <w:rPr>
          <w:rFonts w:ascii="Garamond" w:eastAsia="Garamond" w:hAnsi="Garamond" w:cs="Garamond"/>
          <w:b/>
        </w:rPr>
        <w:t>1</w:t>
      </w:r>
      <w:r>
        <w:rPr>
          <w:rFonts w:ascii="Garamond" w:eastAsia="Garamond" w:hAnsi="Garamond" w:cs="Garamond"/>
          <w:b/>
        </w:rPr>
        <w:t>: Labor Day, no class</w:t>
      </w:r>
    </w:p>
    <w:p w14:paraId="691438AB" w14:textId="77777777" w:rsidR="00A95227" w:rsidRDefault="00A95227" w:rsidP="00A95227">
      <w:pPr>
        <w:rPr>
          <w:rFonts w:ascii="Garamond" w:eastAsia="Garamond" w:hAnsi="Garamond" w:cs="Garamond"/>
        </w:rPr>
      </w:pPr>
    </w:p>
    <w:p w14:paraId="47CEF4E0" w14:textId="6600B676" w:rsidR="00A95227" w:rsidRDefault="00A95227" w:rsidP="00A95227">
      <w:pPr>
        <w:rPr>
          <w:rFonts w:ascii="Garamond" w:eastAsia="Garamond" w:hAnsi="Garamond" w:cs="Garamond"/>
          <w:b/>
        </w:rPr>
      </w:pPr>
      <w:r>
        <w:rPr>
          <w:rFonts w:ascii="Garamond" w:eastAsia="Garamond" w:hAnsi="Garamond" w:cs="Garamond"/>
          <w:b/>
        </w:rPr>
        <w:t xml:space="preserve">September </w:t>
      </w:r>
      <w:r w:rsidR="00DF47D0">
        <w:rPr>
          <w:rFonts w:ascii="Garamond" w:eastAsia="Garamond" w:hAnsi="Garamond" w:cs="Garamond"/>
          <w:b/>
        </w:rPr>
        <w:t>8</w:t>
      </w:r>
      <w:r>
        <w:rPr>
          <w:rFonts w:ascii="Garamond" w:eastAsia="Garamond" w:hAnsi="Garamond" w:cs="Garamond"/>
          <w:b/>
        </w:rPr>
        <w:t>, Week 2: Mexico (1910-1940) – Women at the Vanguard of a Social Revolution</w:t>
      </w:r>
    </w:p>
    <w:p w14:paraId="69951FC5" w14:textId="77777777" w:rsidR="00A95227" w:rsidRDefault="00A95227" w:rsidP="00A95227">
      <w:pPr>
        <w:numPr>
          <w:ilvl w:val="0"/>
          <w:numId w:val="1"/>
        </w:numPr>
        <w:rPr>
          <w:rFonts w:ascii="Garamond" w:eastAsia="Garamond" w:hAnsi="Garamond" w:cs="Garamond"/>
        </w:rPr>
      </w:pPr>
      <w:r>
        <w:rPr>
          <w:rFonts w:ascii="Garamond" w:eastAsia="Garamond" w:hAnsi="Garamond" w:cs="Garamond"/>
        </w:rPr>
        <w:t>For historical background on Latin America in the 20</w:t>
      </w:r>
      <w:r w:rsidRPr="002D20A5">
        <w:rPr>
          <w:rFonts w:ascii="Garamond" w:eastAsia="Garamond" w:hAnsi="Garamond" w:cs="Garamond"/>
          <w:vertAlign w:val="superscript"/>
        </w:rPr>
        <w:t>th</w:t>
      </w:r>
      <w:r>
        <w:rPr>
          <w:rFonts w:ascii="Garamond" w:eastAsia="Garamond" w:hAnsi="Garamond" w:cs="Garamond"/>
        </w:rPr>
        <w:t xml:space="preserve"> century: Tanya Harmer, “The Cold War in Latin America,” in </w:t>
      </w:r>
      <w:r>
        <w:rPr>
          <w:rFonts w:ascii="Garamond" w:eastAsia="Garamond" w:hAnsi="Garamond" w:cs="Garamond"/>
          <w:i/>
        </w:rPr>
        <w:t xml:space="preserve">The Routledge Handbook of the Cold War, </w:t>
      </w:r>
      <w:r>
        <w:rPr>
          <w:rFonts w:ascii="Garamond" w:eastAsia="Garamond" w:hAnsi="Garamond" w:cs="Garamond"/>
        </w:rPr>
        <w:t>p. 133-148</w:t>
      </w:r>
    </w:p>
    <w:p w14:paraId="18F0C613" w14:textId="77777777" w:rsidR="00A95227"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Carlos Monsiváis, “When Gender Can’t Be Seen amid the Symbols: Women and the Mexican Revolution,” and Mary Kay Vaughn, “Pancho Villa, the </w:t>
      </w:r>
      <w:proofErr w:type="gramStart"/>
      <w:r>
        <w:rPr>
          <w:rFonts w:ascii="Garamond" w:eastAsia="Garamond" w:hAnsi="Garamond" w:cs="Garamond"/>
          <w:color w:val="000000"/>
        </w:rPr>
        <w:t>Daughters</w:t>
      </w:r>
      <w:proofErr w:type="gramEnd"/>
      <w:r>
        <w:rPr>
          <w:rFonts w:ascii="Garamond" w:eastAsia="Garamond" w:hAnsi="Garamond" w:cs="Garamond"/>
          <w:color w:val="000000"/>
        </w:rPr>
        <w:t xml:space="preserve"> of Mary, and the Modern Woman: Gender in the Long Mexican Revolution,” in </w:t>
      </w:r>
      <w:r>
        <w:rPr>
          <w:rFonts w:ascii="Garamond" w:eastAsia="Garamond" w:hAnsi="Garamond" w:cs="Garamond"/>
          <w:i/>
          <w:color w:val="000000"/>
        </w:rPr>
        <w:t xml:space="preserve">Sex and Revolution: gender, politics and power in modern Mexico, </w:t>
      </w:r>
      <w:r>
        <w:rPr>
          <w:rFonts w:ascii="Garamond" w:eastAsia="Garamond" w:hAnsi="Garamond" w:cs="Garamond"/>
          <w:color w:val="000000"/>
        </w:rPr>
        <w:t>p. 1-32</w:t>
      </w:r>
    </w:p>
    <w:p w14:paraId="67EB83E4" w14:textId="77777777" w:rsidR="00A95227"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Jocelyn Olcott</w:t>
      </w:r>
      <w:r>
        <w:rPr>
          <w:rFonts w:ascii="Garamond" w:eastAsia="Garamond" w:hAnsi="Garamond" w:cs="Garamond"/>
          <w:i/>
          <w:color w:val="000000"/>
        </w:rPr>
        <w:t xml:space="preserve">, Revolutionary Women in Postrevolutionary Mexico, </w:t>
      </w:r>
      <w:r>
        <w:rPr>
          <w:rFonts w:ascii="Garamond" w:eastAsia="Garamond" w:hAnsi="Garamond" w:cs="Garamond"/>
          <w:color w:val="000000"/>
        </w:rPr>
        <w:t>Introduction and Chapter 1; p. 1-59</w:t>
      </w:r>
    </w:p>
    <w:p w14:paraId="512FBC7C" w14:textId="77777777" w:rsidR="00A95227" w:rsidRDefault="00A95227" w:rsidP="00A95227">
      <w:pPr>
        <w:numPr>
          <w:ilvl w:val="0"/>
          <w:numId w:val="2"/>
        </w:numPr>
        <w:rPr>
          <w:rFonts w:ascii="Garamond" w:eastAsia="Garamond" w:hAnsi="Garamond" w:cs="Garamond"/>
        </w:rPr>
      </w:pPr>
      <w:r>
        <w:rPr>
          <w:rFonts w:ascii="Garamond" w:eastAsia="Garamond" w:hAnsi="Garamond" w:cs="Garamond"/>
        </w:rPr>
        <w:t xml:space="preserve">Elena Poniatowska, </w:t>
      </w:r>
      <w:r>
        <w:rPr>
          <w:rFonts w:ascii="Garamond" w:eastAsia="Garamond" w:hAnsi="Garamond" w:cs="Garamond"/>
          <w:i/>
        </w:rPr>
        <w:t xml:space="preserve">Las Soldaderas: women of the Mexican Revolution, </w:t>
      </w:r>
      <w:r>
        <w:rPr>
          <w:rFonts w:ascii="Garamond" w:eastAsia="Garamond" w:hAnsi="Garamond" w:cs="Garamond"/>
        </w:rPr>
        <w:t>review selected photographs</w:t>
      </w:r>
    </w:p>
    <w:p w14:paraId="2F5EC826" w14:textId="77777777" w:rsidR="00A95227" w:rsidRDefault="00A95227" w:rsidP="00A95227">
      <w:pPr>
        <w:pBdr>
          <w:top w:val="nil"/>
          <w:left w:val="nil"/>
          <w:bottom w:val="nil"/>
          <w:right w:val="nil"/>
          <w:between w:val="nil"/>
        </w:pBdr>
        <w:ind w:left="720"/>
        <w:rPr>
          <w:rFonts w:ascii="Garamond" w:eastAsia="Garamond" w:hAnsi="Garamond" w:cs="Garamond"/>
          <w:color w:val="000000"/>
        </w:rPr>
      </w:pPr>
    </w:p>
    <w:p w14:paraId="6231313F" w14:textId="67199FDE" w:rsidR="00A95227" w:rsidRDefault="00A95227" w:rsidP="00A95227">
      <w:pPr>
        <w:rPr>
          <w:rFonts w:ascii="Garamond" w:eastAsia="Garamond" w:hAnsi="Garamond" w:cs="Garamond"/>
          <w:b/>
        </w:rPr>
      </w:pPr>
      <w:r>
        <w:rPr>
          <w:rFonts w:ascii="Garamond" w:eastAsia="Garamond" w:hAnsi="Garamond" w:cs="Garamond"/>
          <w:b/>
        </w:rPr>
        <w:t>September 1</w:t>
      </w:r>
      <w:r w:rsidR="00DF47D0">
        <w:rPr>
          <w:rFonts w:ascii="Garamond" w:eastAsia="Garamond" w:hAnsi="Garamond" w:cs="Garamond"/>
          <w:b/>
        </w:rPr>
        <w:t>5</w:t>
      </w:r>
      <w:r>
        <w:rPr>
          <w:rFonts w:ascii="Garamond" w:eastAsia="Garamond" w:hAnsi="Garamond" w:cs="Garamond"/>
          <w:b/>
        </w:rPr>
        <w:t>, Week 3: Cuba (1959-1975) – Feminism, Queerness, Art, and the Limits of Revolutionary Socialism</w:t>
      </w:r>
    </w:p>
    <w:p w14:paraId="143B16C1" w14:textId="77777777" w:rsidR="00A95227" w:rsidRPr="002D20A5"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Michelle Chase</w:t>
      </w:r>
      <w:r>
        <w:rPr>
          <w:rFonts w:ascii="Garamond" w:eastAsia="Garamond" w:hAnsi="Garamond" w:cs="Garamond"/>
          <w:i/>
          <w:color w:val="000000"/>
        </w:rPr>
        <w:t>, Revolution Within the Revolution: Women and Gender Policy in Cuba: 1952-1962</w:t>
      </w:r>
      <w:r>
        <w:rPr>
          <w:rFonts w:ascii="Garamond" w:eastAsia="Garamond" w:hAnsi="Garamond" w:cs="Garamond"/>
          <w:color w:val="000000"/>
        </w:rPr>
        <w:t>, Introduction; p. 1-18</w:t>
      </w:r>
    </w:p>
    <w:p w14:paraId="39E4ADED" w14:textId="77777777" w:rsidR="00A95227"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Reinaldo Arenas</w:t>
      </w:r>
      <w:r>
        <w:rPr>
          <w:rFonts w:ascii="Garamond" w:eastAsia="Garamond" w:hAnsi="Garamond" w:cs="Garamond"/>
          <w:i/>
          <w:color w:val="000000"/>
        </w:rPr>
        <w:t>, Before Night Falls: A Memoir</w:t>
      </w:r>
    </w:p>
    <w:p w14:paraId="14F11F56" w14:textId="77777777" w:rsidR="00A95227"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Film: </w:t>
      </w:r>
      <w:proofErr w:type="spellStart"/>
      <w:r>
        <w:rPr>
          <w:rFonts w:ascii="Garamond" w:eastAsia="Garamond" w:hAnsi="Garamond" w:cs="Garamond"/>
          <w:i/>
          <w:color w:val="000000"/>
        </w:rPr>
        <w:t>Fresa</w:t>
      </w:r>
      <w:proofErr w:type="spellEnd"/>
      <w:r>
        <w:rPr>
          <w:rFonts w:ascii="Garamond" w:eastAsia="Garamond" w:hAnsi="Garamond" w:cs="Garamond"/>
          <w:i/>
          <w:color w:val="000000"/>
        </w:rPr>
        <w:t xml:space="preserve"> y Chocolate</w:t>
      </w:r>
      <w:r>
        <w:rPr>
          <w:rFonts w:ascii="Garamond" w:eastAsia="Garamond" w:hAnsi="Garamond" w:cs="Garamond"/>
          <w:color w:val="000000"/>
        </w:rPr>
        <w:t xml:space="preserve">, directed by Tomás Gutiérrez Alea and Juan Carlos </w:t>
      </w:r>
      <w:proofErr w:type="spellStart"/>
      <w:r>
        <w:rPr>
          <w:rFonts w:ascii="Garamond" w:eastAsia="Garamond" w:hAnsi="Garamond" w:cs="Garamond"/>
          <w:color w:val="000000"/>
        </w:rPr>
        <w:t>Tabío</w:t>
      </w:r>
      <w:proofErr w:type="spellEnd"/>
      <w:r>
        <w:rPr>
          <w:rFonts w:ascii="Garamond" w:eastAsia="Garamond" w:hAnsi="Garamond" w:cs="Garamond"/>
          <w:color w:val="000000"/>
        </w:rPr>
        <w:t xml:space="preserve"> (</w:t>
      </w:r>
      <w:hyperlink r:id="rId16" w:history="1">
        <w:r w:rsidRPr="00BE6684">
          <w:rPr>
            <w:rStyle w:val="Hyperlink"/>
            <w:rFonts w:ascii="Garamond" w:eastAsia="Garamond" w:hAnsi="Garamond" w:cs="Garamond"/>
          </w:rPr>
          <w:t>https://www.youtube.com/watch?v=Qrz37EyJ1oE</w:t>
        </w:r>
      </w:hyperlink>
      <w:r>
        <w:rPr>
          <w:rFonts w:ascii="Garamond" w:eastAsia="Garamond" w:hAnsi="Garamond" w:cs="Garamond"/>
          <w:color w:val="000000"/>
        </w:rPr>
        <w:t>) DVD on reserve at the library</w:t>
      </w:r>
    </w:p>
    <w:p w14:paraId="014BEF9A" w14:textId="77777777" w:rsidR="00A95227" w:rsidRDefault="00A95227" w:rsidP="00A95227">
      <w:pPr>
        <w:rPr>
          <w:rFonts w:ascii="Garamond" w:eastAsia="Garamond" w:hAnsi="Garamond" w:cs="Garamond"/>
          <w:b/>
        </w:rPr>
      </w:pPr>
    </w:p>
    <w:p w14:paraId="593393C0" w14:textId="5E74FBBE" w:rsidR="00A95227" w:rsidRDefault="00A95227" w:rsidP="00A95227">
      <w:pPr>
        <w:rPr>
          <w:rFonts w:ascii="Garamond" w:eastAsia="Garamond" w:hAnsi="Garamond" w:cs="Garamond"/>
          <w:b/>
        </w:rPr>
      </w:pPr>
      <w:r>
        <w:rPr>
          <w:rFonts w:ascii="Garamond" w:eastAsia="Garamond" w:hAnsi="Garamond" w:cs="Garamond"/>
          <w:b/>
        </w:rPr>
        <w:t xml:space="preserve">September </w:t>
      </w:r>
      <w:r w:rsidR="00DF47D0">
        <w:rPr>
          <w:rFonts w:ascii="Garamond" w:eastAsia="Garamond" w:hAnsi="Garamond" w:cs="Garamond"/>
          <w:b/>
        </w:rPr>
        <w:t>22</w:t>
      </w:r>
      <w:r>
        <w:rPr>
          <w:rFonts w:ascii="Garamond" w:eastAsia="Garamond" w:hAnsi="Garamond" w:cs="Garamond"/>
          <w:b/>
        </w:rPr>
        <w:t>, Week 4: Brazil (1960-1990) – Political Resistance, Counterculture, and Legacies of Slavery under Authoritarianism</w:t>
      </w:r>
    </w:p>
    <w:p w14:paraId="2AB81E6B" w14:textId="77777777" w:rsidR="00A95227"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James N. Green</w:t>
      </w:r>
      <w:r>
        <w:rPr>
          <w:rFonts w:ascii="Garamond" w:eastAsia="Garamond" w:hAnsi="Garamond" w:cs="Garamond"/>
          <w:i/>
          <w:color w:val="000000"/>
        </w:rPr>
        <w:t>, Beyond Carnival: Male Homosexuality in Twentieth-Century Brazil</w:t>
      </w:r>
      <w:r>
        <w:rPr>
          <w:rFonts w:ascii="Garamond" w:eastAsia="Garamond" w:hAnsi="Garamond" w:cs="Garamond"/>
          <w:color w:val="000000"/>
        </w:rPr>
        <w:t>, Chapter 6, p. 242-278</w:t>
      </w:r>
    </w:p>
    <w:p w14:paraId="7473C2DD" w14:textId="77777777" w:rsidR="00A95227" w:rsidRPr="004E682E"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Benedita da Silva, </w:t>
      </w:r>
      <w:r>
        <w:rPr>
          <w:rFonts w:ascii="Garamond" w:eastAsia="Garamond" w:hAnsi="Garamond" w:cs="Garamond"/>
          <w:i/>
          <w:color w:val="000000"/>
        </w:rPr>
        <w:t>Benedita da Silva: An Afro-Brazilian Woman’s Story of Politics and Love</w:t>
      </w:r>
    </w:p>
    <w:p w14:paraId="180789E1" w14:textId="77777777" w:rsidR="00A95227" w:rsidRPr="004E682E"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Daphne Patai, </w:t>
      </w:r>
      <w:r>
        <w:rPr>
          <w:rFonts w:ascii="Garamond" w:eastAsia="Garamond" w:hAnsi="Garamond" w:cs="Garamond"/>
          <w:i/>
          <w:color w:val="000000"/>
        </w:rPr>
        <w:t>Brazilian Women Speak: Contemporary Life Stories</w:t>
      </w:r>
      <w:r>
        <w:rPr>
          <w:rFonts w:ascii="Garamond" w:eastAsia="Garamond" w:hAnsi="Garamond" w:cs="Garamond"/>
          <w:color w:val="000000"/>
        </w:rPr>
        <w:t xml:space="preserve">, “Marta,” “Conceição”, and “Madalena;” p. 197-212, 248-269; </w:t>
      </w:r>
      <w:r>
        <w:rPr>
          <w:rFonts w:ascii="Garamond" w:eastAsia="Garamond" w:hAnsi="Garamond" w:cs="Garamond"/>
        </w:rPr>
        <w:t xml:space="preserve">optional: </w:t>
      </w:r>
      <w:r>
        <w:rPr>
          <w:rFonts w:ascii="Garamond" w:eastAsia="Garamond" w:hAnsi="Garamond" w:cs="Garamond"/>
          <w:color w:val="000000"/>
        </w:rPr>
        <w:t>“Célia;” p. 231-247 (book is on reserve at the library)</w:t>
      </w:r>
    </w:p>
    <w:p w14:paraId="74413E4C" w14:textId="77777777" w:rsidR="00A95227" w:rsidRDefault="00A95227" w:rsidP="00A95227">
      <w:pPr>
        <w:rPr>
          <w:rFonts w:ascii="Garamond" w:eastAsia="Garamond" w:hAnsi="Garamond" w:cs="Garamond"/>
        </w:rPr>
      </w:pPr>
    </w:p>
    <w:p w14:paraId="05FFE758" w14:textId="0245170F" w:rsidR="00A95227" w:rsidRDefault="00A95227" w:rsidP="00A95227">
      <w:pPr>
        <w:rPr>
          <w:rFonts w:ascii="Garamond" w:eastAsia="Garamond" w:hAnsi="Garamond" w:cs="Garamond"/>
          <w:b/>
        </w:rPr>
      </w:pPr>
      <w:r>
        <w:rPr>
          <w:rFonts w:ascii="Garamond" w:eastAsia="Garamond" w:hAnsi="Garamond" w:cs="Garamond"/>
          <w:b/>
        </w:rPr>
        <w:t xml:space="preserve">September </w:t>
      </w:r>
      <w:r w:rsidR="00DF47D0">
        <w:rPr>
          <w:rFonts w:ascii="Garamond" w:eastAsia="Garamond" w:hAnsi="Garamond" w:cs="Garamond"/>
          <w:b/>
        </w:rPr>
        <w:t>29</w:t>
      </w:r>
      <w:r>
        <w:rPr>
          <w:rFonts w:ascii="Garamond" w:eastAsia="Garamond" w:hAnsi="Garamond" w:cs="Garamond"/>
          <w:b/>
        </w:rPr>
        <w:t>, Week 5: Chile (1965-1990) – Patriarchy Retreats?</w:t>
      </w:r>
    </w:p>
    <w:p w14:paraId="455AC681" w14:textId="77777777" w:rsidR="00A95227" w:rsidRPr="00A2254B"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Heidi Tinsman</w:t>
      </w:r>
      <w:r>
        <w:rPr>
          <w:rFonts w:ascii="Garamond" w:eastAsia="Garamond" w:hAnsi="Garamond" w:cs="Garamond"/>
          <w:i/>
          <w:color w:val="000000"/>
        </w:rPr>
        <w:t>, Partners in Conflict: The Politics of Gender, Sexuality, and Labor in the Chilean Agrarian Reform, 1950-1973</w:t>
      </w:r>
      <w:r>
        <w:rPr>
          <w:rFonts w:ascii="Garamond" w:eastAsia="Garamond" w:hAnsi="Garamond" w:cs="Garamond"/>
          <w:color w:val="000000"/>
        </w:rPr>
        <w:t>, Introduction, Chapter 6; p. 1-18, 210-2</w:t>
      </w:r>
      <w:r>
        <w:rPr>
          <w:rFonts w:ascii="Garamond" w:eastAsia="Garamond" w:hAnsi="Garamond" w:cs="Garamond"/>
        </w:rPr>
        <w:t>46</w:t>
      </w:r>
    </w:p>
    <w:p w14:paraId="467E0ACB" w14:textId="77777777" w:rsidR="00A95227" w:rsidRPr="00A2254B"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Florencia E. Mallon, “</w:t>
      </w:r>
      <w:proofErr w:type="spellStart"/>
      <w:r>
        <w:rPr>
          <w:rFonts w:ascii="Garamond" w:eastAsia="Garamond" w:hAnsi="Garamond" w:cs="Garamond"/>
          <w:color w:val="000000"/>
        </w:rPr>
        <w:t>Barbudos</w:t>
      </w:r>
      <w:proofErr w:type="spellEnd"/>
      <w:r>
        <w:rPr>
          <w:rFonts w:ascii="Garamond" w:eastAsia="Garamond" w:hAnsi="Garamond" w:cs="Garamond"/>
          <w:color w:val="000000"/>
        </w:rPr>
        <w:t xml:space="preserve">, Warriors, and Rotos: The MIR, Masculinity, and Power in the Chilean Agrarian Reform, 1965-74,” in </w:t>
      </w:r>
      <w:r>
        <w:rPr>
          <w:rFonts w:ascii="Garamond" w:eastAsia="Garamond" w:hAnsi="Garamond" w:cs="Garamond"/>
          <w:i/>
          <w:color w:val="000000"/>
        </w:rPr>
        <w:t xml:space="preserve">Changing Men and Masculinities in Latin America; </w:t>
      </w:r>
      <w:r>
        <w:rPr>
          <w:rFonts w:ascii="Garamond" w:eastAsia="Garamond" w:hAnsi="Garamond" w:cs="Garamond"/>
          <w:color w:val="000000"/>
        </w:rPr>
        <w:t>p. 179-215</w:t>
      </w:r>
    </w:p>
    <w:p w14:paraId="6C70F5F8" w14:textId="77777777" w:rsidR="00A95227" w:rsidRPr="00A2254B" w:rsidRDefault="00A95227" w:rsidP="00A95227">
      <w:pPr>
        <w:numPr>
          <w:ilvl w:val="0"/>
          <w:numId w:val="2"/>
        </w:numPr>
        <w:pBdr>
          <w:top w:val="nil"/>
          <w:left w:val="nil"/>
          <w:bottom w:val="nil"/>
          <w:right w:val="nil"/>
          <w:between w:val="nil"/>
        </w:pBdr>
        <w:rPr>
          <w:rFonts w:ascii="Garamond" w:eastAsia="Garamond" w:hAnsi="Garamond" w:cs="Garamond"/>
          <w:color w:val="000000"/>
        </w:rPr>
      </w:pPr>
      <w:r w:rsidRPr="00A2254B">
        <w:rPr>
          <w:rFonts w:ascii="Garamond" w:eastAsia="Garamond" w:hAnsi="Garamond" w:cs="Garamond"/>
          <w:color w:val="000000"/>
        </w:rPr>
        <w:lastRenderedPageBreak/>
        <w:t>Heidi Tinsman, “Reviving Feminist Materialism: Gender and Neoliberalism in Pinochet’s Chile,” p. 145-188</w:t>
      </w:r>
    </w:p>
    <w:p w14:paraId="44991E55" w14:textId="77777777" w:rsidR="00A95227" w:rsidRPr="002D20A5" w:rsidRDefault="00A95227" w:rsidP="00A95227">
      <w:pPr>
        <w:pBdr>
          <w:top w:val="nil"/>
          <w:left w:val="nil"/>
          <w:bottom w:val="nil"/>
          <w:right w:val="nil"/>
          <w:between w:val="nil"/>
        </w:pBdr>
        <w:ind w:left="720"/>
        <w:rPr>
          <w:rFonts w:ascii="Garamond" w:eastAsia="Garamond" w:hAnsi="Garamond" w:cs="Garamond"/>
          <w:color w:val="000000"/>
        </w:rPr>
      </w:pPr>
    </w:p>
    <w:p w14:paraId="412D8AA8" w14:textId="13E862F4" w:rsidR="00A95227" w:rsidRDefault="00A95227" w:rsidP="00A95227">
      <w:pPr>
        <w:rPr>
          <w:rFonts w:ascii="Garamond" w:eastAsia="Garamond" w:hAnsi="Garamond" w:cs="Garamond"/>
          <w:b/>
        </w:rPr>
      </w:pPr>
      <w:r>
        <w:rPr>
          <w:rFonts w:ascii="Garamond" w:eastAsia="Garamond" w:hAnsi="Garamond" w:cs="Garamond"/>
          <w:b/>
        </w:rPr>
        <w:t xml:space="preserve">October </w:t>
      </w:r>
      <w:r w:rsidR="00383D98">
        <w:rPr>
          <w:rFonts w:ascii="Garamond" w:eastAsia="Garamond" w:hAnsi="Garamond" w:cs="Garamond"/>
          <w:b/>
        </w:rPr>
        <w:t>6</w:t>
      </w:r>
      <w:r>
        <w:rPr>
          <w:rFonts w:ascii="Garamond" w:eastAsia="Garamond" w:hAnsi="Garamond" w:cs="Garamond"/>
          <w:b/>
        </w:rPr>
        <w:t>, Week 6: Argentina (1970-1990) – Maternal Activism and Gendered Violence</w:t>
      </w:r>
    </w:p>
    <w:p w14:paraId="0B2D1877" w14:textId="77777777" w:rsidR="00A95227" w:rsidRDefault="00A95227" w:rsidP="00A95227">
      <w:pPr>
        <w:numPr>
          <w:ilvl w:val="0"/>
          <w:numId w:val="2"/>
        </w:numPr>
        <w:rPr>
          <w:rFonts w:ascii="Garamond" w:eastAsia="Garamond" w:hAnsi="Garamond" w:cs="Garamond"/>
        </w:rPr>
      </w:pPr>
      <w:r>
        <w:rPr>
          <w:rFonts w:ascii="Garamond" w:eastAsia="Garamond" w:hAnsi="Garamond" w:cs="Garamond"/>
        </w:rPr>
        <w:t xml:space="preserve">Isabella Cosse, “Infidelities: Morality, Revolution, and Sexuality in Left-Wing Guerrilla Organizations in 1960s and 1970s Argentina,” </w:t>
      </w:r>
      <w:r>
        <w:rPr>
          <w:rFonts w:ascii="Garamond" w:eastAsia="Garamond" w:hAnsi="Garamond" w:cs="Garamond"/>
          <w:i/>
        </w:rPr>
        <w:t xml:space="preserve">Journal of the History of Sexuality; </w:t>
      </w:r>
      <w:r>
        <w:rPr>
          <w:rFonts w:ascii="Garamond" w:eastAsia="Garamond" w:hAnsi="Garamond" w:cs="Garamond"/>
        </w:rPr>
        <w:t>p. 415-450</w:t>
      </w:r>
    </w:p>
    <w:p w14:paraId="5C104101" w14:textId="77777777" w:rsidR="00A95227" w:rsidRDefault="00A95227" w:rsidP="00A95227">
      <w:pPr>
        <w:numPr>
          <w:ilvl w:val="0"/>
          <w:numId w:val="2"/>
        </w:numPr>
        <w:rPr>
          <w:rFonts w:ascii="Garamond" w:eastAsia="Garamond" w:hAnsi="Garamond" w:cs="Garamond"/>
        </w:rPr>
      </w:pPr>
      <w:r>
        <w:rPr>
          <w:rFonts w:ascii="Garamond" w:eastAsia="Garamond" w:hAnsi="Garamond" w:cs="Garamond"/>
        </w:rPr>
        <w:t xml:space="preserve">Valeria Manzano, “Sex, Gender, and the Making of the ‘Enemy Within’ in Cold War Argentina,” </w:t>
      </w:r>
      <w:r>
        <w:rPr>
          <w:rFonts w:ascii="Garamond" w:eastAsia="Garamond" w:hAnsi="Garamond" w:cs="Garamond"/>
          <w:i/>
        </w:rPr>
        <w:t xml:space="preserve">Journal of Latin American Studies; </w:t>
      </w:r>
      <w:r>
        <w:rPr>
          <w:rFonts w:ascii="Garamond" w:eastAsia="Garamond" w:hAnsi="Garamond" w:cs="Garamond"/>
        </w:rPr>
        <w:t>p. 1-29</w:t>
      </w:r>
    </w:p>
    <w:p w14:paraId="769AB0E8" w14:textId="77777777" w:rsidR="00A95227" w:rsidRPr="004E682E" w:rsidRDefault="00A95227" w:rsidP="00A95227">
      <w:pPr>
        <w:numPr>
          <w:ilvl w:val="0"/>
          <w:numId w:val="2"/>
        </w:numPr>
        <w:rPr>
          <w:rFonts w:ascii="Garamond" w:eastAsia="Garamond" w:hAnsi="Garamond" w:cs="Garamond"/>
        </w:rPr>
      </w:pPr>
      <w:r>
        <w:rPr>
          <w:rFonts w:ascii="Garamond" w:eastAsia="Garamond" w:hAnsi="Garamond" w:cs="Garamond"/>
        </w:rPr>
        <w:t xml:space="preserve">Jennifer Adair, “The Mothers of the Plaza de Mayo: From Dictatorship to Democracy,” </w:t>
      </w:r>
      <w:r>
        <w:rPr>
          <w:rFonts w:ascii="Garamond" w:eastAsia="Garamond" w:hAnsi="Garamond" w:cs="Garamond"/>
          <w:i/>
        </w:rPr>
        <w:t xml:space="preserve">Routledge History of Human Rights; </w:t>
      </w:r>
      <w:r>
        <w:rPr>
          <w:rFonts w:ascii="Garamond" w:eastAsia="Garamond" w:hAnsi="Garamond" w:cs="Garamond"/>
        </w:rPr>
        <w:t>p. 375-391</w:t>
      </w:r>
    </w:p>
    <w:p w14:paraId="2781A38D" w14:textId="1F1F103C" w:rsidR="00A95227" w:rsidRDefault="00A95227" w:rsidP="00A95227">
      <w:pPr>
        <w:numPr>
          <w:ilvl w:val="0"/>
          <w:numId w:val="2"/>
        </w:numPr>
        <w:rPr>
          <w:rFonts w:ascii="Garamond" w:eastAsia="Garamond" w:hAnsi="Garamond" w:cs="Garamond"/>
        </w:rPr>
      </w:pPr>
      <w:r>
        <w:rPr>
          <w:rFonts w:ascii="Garamond" w:eastAsia="Garamond" w:hAnsi="Garamond" w:cs="Garamond"/>
          <w:b/>
          <w:bCs/>
        </w:rPr>
        <w:t xml:space="preserve">Primary source analysis paper due Thursday, October </w:t>
      </w:r>
      <w:r w:rsidR="00383D98">
        <w:rPr>
          <w:rFonts w:ascii="Garamond" w:eastAsia="Garamond" w:hAnsi="Garamond" w:cs="Garamond"/>
          <w:b/>
          <w:bCs/>
        </w:rPr>
        <w:t>9</w:t>
      </w:r>
      <w:r>
        <w:rPr>
          <w:rFonts w:ascii="Garamond" w:eastAsia="Garamond" w:hAnsi="Garamond" w:cs="Garamond"/>
          <w:b/>
          <w:bCs/>
        </w:rPr>
        <w:t xml:space="preserve"> </w:t>
      </w:r>
    </w:p>
    <w:p w14:paraId="336C2806" w14:textId="77777777" w:rsidR="00A95227" w:rsidRDefault="00A95227" w:rsidP="00A95227">
      <w:pPr>
        <w:ind w:left="720"/>
        <w:rPr>
          <w:rFonts w:ascii="Garamond" w:eastAsia="Garamond" w:hAnsi="Garamond" w:cs="Garamond"/>
        </w:rPr>
      </w:pPr>
    </w:p>
    <w:p w14:paraId="574832D0" w14:textId="334245FD" w:rsidR="00A95227" w:rsidRDefault="00A95227" w:rsidP="00A95227">
      <w:pPr>
        <w:rPr>
          <w:rFonts w:ascii="Garamond" w:eastAsia="Garamond" w:hAnsi="Garamond" w:cs="Garamond"/>
          <w:b/>
        </w:rPr>
      </w:pPr>
      <w:r>
        <w:rPr>
          <w:rFonts w:ascii="Garamond" w:eastAsia="Garamond" w:hAnsi="Garamond" w:cs="Garamond"/>
          <w:b/>
        </w:rPr>
        <w:t>October 1</w:t>
      </w:r>
      <w:r w:rsidR="00DF47D0">
        <w:rPr>
          <w:rFonts w:ascii="Garamond" w:eastAsia="Garamond" w:hAnsi="Garamond" w:cs="Garamond"/>
          <w:b/>
        </w:rPr>
        <w:t>3</w:t>
      </w:r>
      <w:r>
        <w:rPr>
          <w:rFonts w:ascii="Garamond" w:eastAsia="Garamond" w:hAnsi="Garamond" w:cs="Garamond"/>
          <w:b/>
        </w:rPr>
        <w:t xml:space="preserve">, Week 7: Guatemala (1960-1996) – Women as Gendered and Racialized Subjects </w:t>
      </w:r>
    </w:p>
    <w:p w14:paraId="07D23E17" w14:textId="77777777" w:rsidR="00A95227" w:rsidRPr="004E682E"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Rigoberta Menchú</w:t>
      </w:r>
      <w:r>
        <w:rPr>
          <w:rFonts w:ascii="Garamond" w:eastAsia="Garamond" w:hAnsi="Garamond" w:cs="Garamond"/>
          <w:i/>
          <w:color w:val="000000"/>
        </w:rPr>
        <w:t>, I, Rigoberta Menchú</w:t>
      </w:r>
    </w:p>
    <w:p w14:paraId="27A4BABE" w14:textId="77777777" w:rsidR="00A95227"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Betsy Konefal</w:t>
      </w:r>
      <w:r>
        <w:rPr>
          <w:rFonts w:ascii="Garamond" w:eastAsia="Garamond" w:hAnsi="Garamond" w:cs="Garamond"/>
          <w:i/>
          <w:color w:val="000000"/>
        </w:rPr>
        <w:t>, For Every Indio Who Falls: A History of Maya Activism in Guatemala</w:t>
      </w:r>
      <w:r>
        <w:rPr>
          <w:rFonts w:ascii="Garamond" w:eastAsia="Garamond" w:hAnsi="Garamond" w:cs="Garamond"/>
          <w:color w:val="000000"/>
        </w:rPr>
        <w:t>, Introduction and Chapter 4; p. 1-10; p. 83-110</w:t>
      </w:r>
    </w:p>
    <w:p w14:paraId="759CE250" w14:textId="77777777" w:rsidR="00A95227"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Arturo Arias, “Letters from Guatemala: Indigenous Women on Civil War,” p. 1874-1877</w:t>
      </w:r>
    </w:p>
    <w:p w14:paraId="1EA3085B" w14:textId="77777777" w:rsidR="00A95227" w:rsidRPr="00A2254B" w:rsidRDefault="00A95227" w:rsidP="00A95227">
      <w:pPr>
        <w:pBdr>
          <w:top w:val="nil"/>
          <w:left w:val="nil"/>
          <w:bottom w:val="nil"/>
          <w:right w:val="nil"/>
          <w:between w:val="nil"/>
        </w:pBdr>
        <w:ind w:left="720"/>
        <w:rPr>
          <w:rFonts w:ascii="Garamond" w:eastAsia="Garamond" w:hAnsi="Garamond" w:cs="Garamond"/>
          <w:color w:val="000000"/>
        </w:rPr>
      </w:pPr>
    </w:p>
    <w:p w14:paraId="6F84571C" w14:textId="2A6EF37A" w:rsidR="00A95227" w:rsidRDefault="00A95227" w:rsidP="00A95227">
      <w:pPr>
        <w:rPr>
          <w:rFonts w:ascii="Garamond" w:eastAsia="Garamond" w:hAnsi="Garamond" w:cs="Garamond"/>
          <w:b/>
        </w:rPr>
      </w:pPr>
      <w:r>
        <w:rPr>
          <w:rFonts w:ascii="Garamond" w:eastAsia="Garamond" w:hAnsi="Garamond" w:cs="Garamond"/>
          <w:b/>
        </w:rPr>
        <w:t>October 2</w:t>
      </w:r>
      <w:r w:rsidR="00DF47D0">
        <w:rPr>
          <w:rFonts w:ascii="Garamond" w:eastAsia="Garamond" w:hAnsi="Garamond" w:cs="Garamond"/>
          <w:b/>
        </w:rPr>
        <w:t>0</w:t>
      </w:r>
      <w:r>
        <w:rPr>
          <w:rFonts w:ascii="Garamond" w:eastAsia="Garamond" w:hAnsi="Garamond" w:cs="Garamond"/>
          <w:b/>
        </w:rPr>
        <w:t>, Week 8: El Salvador and Nicaragua (1970-1992) – Women at War and in Politics</w:t>
      </w:r>
    </w:p>
    <w:p w14:paraId="430EB506" w14:textId="77777777" w:rsidR="00A95227"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Jocelyn Viterna</w:t>
      </w:r>
      <w:r>
        <w:rPr>
          <w:rFonts w:ascii="Garamond" w:eastAsia="Garamond" w:hAnsi="Garamond" w:cs="Garamond"/>
          <w:i/>
          <w:color w:val="000000"/>
        </w:rPr>
        <w:t xml:space="preserve">, Women in War: The Micro-Processes of Mobilization in El Salvador, </w:t>
      </w:r>
      <w:r>
        <w:rPr>
          <w:rFonts w:ascii="Garamond" w:eastAsia="Garamond" w:hAnsi="Garamond" w:cs="Garamond"/>
          <w:color w:val="000000"/>
        </w:rPr>
        <w:t>Chapter 1 and Conclusion; p. 1-13; 203-220</w:t>
      </w:r>
    </w:p>
    <w:p w14:paraId="26437794" w14:textId="77777777" w:rsidR="00A95227" w:rsidRPr="0087245A"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Gioconda Belli, </w:t>
      </w:r>
      <w:r>
        <w:rPr>
          <w:rFonts w:ascii="Garamond" w:eastAsia="Garamond" w:hAnsi="Garamond" w:cs="Garamond"/>
          <w:i/>
          <w:color w:val="000000"/>
        </w:rPr>
        <w:t>The Country Under My Skin: A Memoir of Love and War</w:t>
      </w:r>
    </w:p>
    <w:p w14:paraId="054F3ECA" w14:textId="77777777" w:rsidR="00A95227" w:rsidRPr="009C126D"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i/>
          <w:color w:val="000000"/>
        </w:rPr>
        <w:t xml:space="preserve">La Mujer </w:t>
      </w:r>
      <w:proofErr w:type="spellStart"/>
      <w:r>
        <w:rPr>
          <w:rFonts w:ascii="Garamond" w:eastAsia="Garamond" w:hAnsi="Garamond" w:cs="Garamond"/>
          <w:i/>
          <w:color w:val="000000"/>
        </w:rPr>
        <w:t>en</w:t>
      </w:r>
      <w:proofErr w:type="spellEnd"/>
      <w:r>
        <w:rPr>
          <w:rFonts w:ascii="Garamond" w:eastAsia="Garamond" w:hAnsi="Garamond" w:cs="Garamond"/>
          <w:i/>
          <w:color w:val="000000"/>
        </w:rPr>
        <w:t xml:space="preserve"> la </w:t>
      </w:r>
      <w:proofErr w:type="spellStart"/>
      <w:r>
        <w:rPr>
          <w:rFonts w:ascii="Garamond" w:eastAsia="Garamond" w:hAnsi="Garamond" w:cs="Garamond"/>
          <w:i/>
          <w:color w:val="000000"/>
        </w:rPr>
        <w:t>Revolución</w:t>
      </w:r>
      <w:proofErr w:type="spellEnd"/>
      <w:r>
        <w:rPr>
          <w:rFonts w:ascii="Garamond" w:eastAsia="Garamond" w:hAnsi="Garamond" w:cs="Garamond"/>
          <w:i/>
          <w:color w:val="000000"/>
        </w:rPr>
        <w:t xml:space="preserve"> Sandinista, </w:t>
      </w:r>
      <w:r>
        <w:rPr>
          <w:rFonts w:ascii="Garamond" w:eastAsia="Garamond" w:hAnsi="Garamond" w:cs="Garamond"/>
          <w:iCs/>
          <w:color w:val="000000"/>
        </w:rPr>
        <w:t xml:space="preserve">documentary (no subtitles available but the closed captioning in English is decent): </w:t>
      </w:r>
      <w:hyperlink r:id="rId17" w:history="1">
        <w:r w:rsidRPr="000C1F9C">
          <w:rPr>
            <w:rStyle w:val="Hyperlink"/>
            <w:rFonts w:ascii="Garamond" w:eastAsia="Garamond" w:hAnsi="Garamond" w:cs="Garamond"/>
            <w:iCs/>
          </w:rPr>
          <w:t>https://www.youtube.com/watch?v=UdYyPZktQR8&amp;t=1256s</w:t>
        </w:r>
      </w:hyperlink>
      <w:r>
        <w:rPr>
          <w:rFonts w:ascii="Garamond" w:eastAsia="Garamond" w:hAnsi="Garamond" w:cs="Garamond"/>
          <w:iCs/>
          <w:color w:val="000000"/>
        </w:rPr>
        <w:t xml:space="preserve"> </w:t>
      </w:r>
    </w:p>
    <w:p w14:paraId="30A11E46" w14:textId="77777777" w:rsidR="00A95227" w:rsidRDefault="00A95227" w:rsidP="00A95227">
      <w:pPr>
        <w:rPr>
          <w:rFonts w:ascii="Garamond" w:eastAsia="Garamond" w:hAnsi="Garamond" w:cs="Garamond"/>
          <w:b/>
        </w:rPr>
      </w:pPr>
    </w:p>
    <w:p w14:paraId="30133182" w14:textId="64A4B0A3" w:rsidR="00A95227" w:rsidRDefault="00A95227" w:rsidP="00A95227">
      <w:pPr>
        <w:rPr>
          <w:rFonts w:ascii="Garamond" w:eastAsia="Garamond" w:hAnsi="Garamond" w:cs="Garamond"/>
          <w:b/>
        </w:rPr>
      </w:pPr>
      <w:r>
        <w:rPr>
          <w:rFonts w:ascii="Garamond" w:eastAsia="Garamond" w:hAnsi="Garamond" w:cs="Garamond"/>
          <w:b/>
        </w:rPr>
        <w:t>October 2</w:t>
      </w:r>
      <w:r w:rsidR="00DF47D0">
        <w:rPr>
          <w:rFonts w:ascii="Garamond" w:eastAsia="Garamond" w:hAnsi="Garamond" w:cs="Garamond"/>
          <w:b/>
        </w:rPr>
        <w:t>7</w:t>
      </w:r>
      <w:r>
        <w:rPr>
          <w:rFonts w:ascii="Garamond" w:eastAsia="Garamond" w:hAnsi="Garamond" w:cs="Garamond"/>
          <w:b/>
        </w:rPr>
        <w:t xml:space="preserve">, Week 9: </w:t>
      </w:r>
    </w:p>
    <w:p w14:paraId="3302DFAA" w14:textId="127BA641" w:rsidR="002739F1" w:rsidRPr="002739F1" w:rsidRDefault="002739F1" w:rsidP="00A95227">
      <w:pPr>
        <w:numPr>
          <w:ilvl w:val="0"/>
          <w:numId w:val="2"/>
        </w:numPr>
        <w:pBdr>
          <w:top w:val="nil"/>
          <w:left w:val="nil"/>
          <w:bottom w:val="nil"/>
          <w:right w:val="nil"/>
          <w:between w:val="nil"/>
        </w:pBdr>
        <w:rPr>
          <w:rFonts w:ascii="Garamond" w:eastAsia="Garamond" w:hAnsi="Garamond" w:cs="Garamond"/>
          <w:b/>
          <w:bCs/>
          <w:color w:val="000000"/>
        </w:rPr>
      </w:pPr>
      <w:r w:rsidRPr="008B5313">
        <w:rPr>
          <w:rFonts w:ascii="Garamond" w:eastAsia="Garamond" w:hAnsi="Garamond" w:cs="Garamond"/>
          <w:b/>
          <w:bCs/>
          <w:iCs/>
          <w:color w:val="000000"/>
        </w:rPr>
        <w:t>Visit to the Latin American and Caribbean Collection at Smathers Library</w:t>
      </w:r>
    </w:p>
    <w:p w14:paraId="05E4C620" w14:textId="77777777" w:rsidR="002739F1" w:rsidRDefault="002739F1" w:rsidP="002739F1">
      <w:pPr>
        <w:pBdr>
          <w:top w:val="nil"/>
          <w:left w:val="nil"/>
          <w:bottom w:val="nil"/>
          <w:right w:val="nil"/>
          <w:between w:val="nil"/>
        </w:pBdr>
        <w:rPr>
          <w:rFonts w:ascii="Garamond" w:eastAsia="Garamond" w:hAnsi="Garamond" w:cs="Garamond"/>
          <w:b/>
          <w:bCs/>
          <w:iCs/>
          <w:color w:val="000000"/>
        </w:rPr>
      </w:pPr>
    </w:p>
    <w:p w14:paraId="481C46C0" w14:textId="5D83D99F" w:rsidR="002739F1" w:rsidRPr="002739F1" w:rsidRDefault="002739F1" w:rsidP="002739F1">
      <w:pPr>
        <w:rPr>
          <w:rFonts w:ascii="Garamond" w:eastAsia="Garamond" w:hAnsi="Garamond" w:cs="Garamond"/>
        </w:rPr>
      </w:pPr>
      <w:r>
        <w:rPr>
          <w:rFonts w:ascii="Garamond" w:eastAsia="Garamond" w:hAnsi="Garamond" w:cs="Garamond"/>
          <w:b/>
        </w:rPr>
        <w:t xml:space="preserve">PART III – LABOR AND AFFINITY-BASED SOCIAL MOVEMENTS: </w:t>
      </w:r>
      <w:r>
        <w:rPr>
          <w:rFonts w:ascii="Garamond" w:eastAsia="Garamond" w:hAnsi="Garamond" w:cs="Garamond"/>
        </w:rPr>
        <w:t>In the final portion of the class, we will look to how certain social movements coalesced around issues of labor, identity, sexuality, and religion and how these affinities informed their claims pertaining to gender, politics, and public life.</w:t>
      </w:r>
    </w:p>
    <w:p w14:paraId="43595193" w14:textId="77777777" w:rsidR="00A95227" w:rsidRDefault="00A95227" w:rsidP="00A95227">
      <w:pPr>
        <w:rPr>
          <w:rFonts w:ascii="Garamond" w:eastAsia="Garamond" w:hAnsi="Garamond" w:cs="Garamond"/>
        </w:rPr>
      </w:pPr>
    </w:p>
    <w:p w14:paraId="0159DC9C" w14:textId="1D193B41" w:rsidR="002739F1" w:rsidRDefault="00A95227" w:rsidP="00A95227">
      <w:pPr>
        <w:rPr>
          <w:rFonts w:ascii="Garamond" w:eastAsia="Garamond" w:hAnsi="Garamond" w:cs="Garamond"/>
          <w:b/>
        </w:rPr>
      </w:pPr>
      <w:r>
        <w:rPr>
          <w:rFonts w:ascii="Garamond" w:eastAsia="Garamond" w:hAnsi="Garamond" w:cs="Garamond"/>
          <w:b/>
        </w:rPr>
        <w:t xml:space="preserve">November </w:t>
      </w:r>
      <w:r w:rsidR="00DF47D0">
        <w:rPr>
          <w:rFonts w:ascii="Garamond" w:eastAsia="Garamond" w:hAnsi="Garamond" w:cs="Garamond"/>
          <w:b/>
        </w:rPr>
        <w:t>3</w:t>
      </w:r>
      <w:r>
        <w:rPr>
          <w:rFonts w:ascii="Garamond" w:eastAsia="Garamond" w:hAnsi="Garamond" w:cs="Garamond"/>
          <w:b/>
        </w:rPr>
        <w:t xml:space="preserve">, Week 10: </w:t>
      </w:r>
      <w:r w:rsidR="002739F1">
        <w:rPr>
          <w:rFonts w:ascii="Garamond" w:eastAsia="Garamond" w:hAnsi="Garamond" w:cs="Garamond"/>
          <w:b/>
        </w:rPr>
        <w:t>Conservative and Religious Women – Wives and Mothers as Guardians of Tradition</w:t>
      </w:r>
    </w:p>
    <w:p w14:paraId="52BB1C1C" w14:textId="77777777" w:rsidR="002739F1" w:rsidRDefault="002739F1" w:rsidP="002739F1">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Margaret Power, “Who but a Woman? The Transnational Diffusion of Anti-Communism among Conservative Women in Brazil, Chile and the United States during the Cold War," </w:t>
      </w:r>
      <w:r>
        <w:rPr>
          <w:rFonts w:ascii="Garamond" w:eastAsia="Garamond" w:hAnsi="Garamond" w:cs="Garamond"/>
          <w:i/>
          <w:color w:val="000000"/>
        </w:rPr>
        <w:t xml:space="preserve">Journal of Latin American Studies, </w:t>
      </w:r>
      <w:r>
        <w:rPr>
          <w:rFonts w:ascii="Garamond" w:eastAsia="Garamond" w:hAnsi="Garamond" w:cs="Garamond"/>
          <w:color w:val="000000"/>
        </w:rPr>
        <w:t>p. 93-119</w:t>
      </w:r>
    </w:p>
    <w:p w14:paraId="6F3245A5" w14:textId="77777777" w:rsidR="002739F1" w:rsidRDefault="002739F1" w:rsidP="002739F1">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Margaret Power, “Defending Dictatorship: Conservative Women in Pinochet’s Chile and the 1988 Plebiscite,” in </w:t>
      </w:r>
      <w:r>
        <w:rPr>
          <w:rFonts w:ascii="Garamond" w:eastAsia="Garamond" w:hAnsi="Garamond" w:cs="Garamond"/>
          <w:i/>
          <w:color w:val="000000"/>
        </w:rPr>
        <w:t xml:space="preserve">Radical Women in Latin America: left and right, </w:t>
      </w:r>
      <w:r>
        <w:rPr>
          <w:rFonts w:ascii="Garamond" w:eastAsia="Garamond" w:hAnsi="Garamond" w:cs="Garamond"/>
          <w:color w:val="000000"/>
        </w:rPr>
        <w:t>p. 299-324</w:t>
      </w:r>
    </w:p>
    <w:p w14:paraId="4F4CDCB0" w14:textId="368FC91D" w:rsidR="002739F1" w:rsidRPr="002739F1" w:rsidRDefault="002739F1" w:rsidP="002739F1">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Karen Kampwith, “Women in the Armed Struggles in Nicaragua: Sandinistas and Contras Compared,” in </w:t>
      </w:r>
      <w:r>
        <w:rPr>
          <w:rFonts w:ascii="Garamond" w:eastAsia="Garamond" w:hAnsi="Garamond" w:cs="Garamond"/>
          <w:i/>
          <w:iCs/>
          <w:color w:val="000000"/>
        </w:rPr>
        <w:t xml:space="preserve">Radical Women in Latin America: left and right, </w:t>
      </w:r>
      <w:r>
        <w:rPr>
          <w:rFonts w:ascii="Garamond" w:eastAsia="Garamond" w:hAnsi="Garamond" w:cs="Garamond"/>
          <w:color w:val="000000"/>
        </w:rPr>
        <w:t>p. 79-109</w:t>
      </w:r>
    </w:p>
    <w:p w14:paraId="3207D8DF" w14:textId="2E58FCA7" w:rsidR="002739F1" w:rsidRPr="008B5313" w:rsidRDefault="002739F1" w:rsidP="002739F1">
      <w:pPr>
        <w:numPr>
          <w:ilvl w:val="0"/>
          <w:numId w:val="2"/>
        </w:numPr>
        <w:pBdr>
          <w:top w:val="nil"/>
          <w:left w:val="nil"/>
          <w:bottom w:val="nil"/>
          <w:right w:val="nil"/>
          <w:between w:val="nil"/>
        </w:pBdr>
        <w:rPr>
          <w:rFonts w:ascii="Garamond" w:eastAsia="Garamond" w:hAnsi="Garamond" w:cs="Garamond"/>
          <w:b/>
          <w:color w:val="000000"/>
        </w:rPr>
      </w:pPr>
      <w:r>
        <w:rPr>
          <w:rFonts w:ascii="Garamond" w:eastAsia="Garamond" w:hAnsi="Garamond" w:cs="Garamond"/>
          <w:b/>
          <w:color w:val="000000"/>
        </w:rPr>
        <w:t xml:space="preserve">Research proposal for final paper due November </w:t>
      </w:r>
      <w:r w:rsidR="00446CE7">
        <w:rPr>
          <w:rFonts w:ascii="Garamond" w:eastAsia="Garamond" w:hAnsi="Garamond" w:cs="Garamond"/>
          <w:b/>
          <w:color w:val="000000"/>
        </w:rPr>
        <w:t>5</w:t>
      </w:r>
      <w:r>
        <w:rPr>
          <w:rFonts w:ascii="Garamond" w:eastAsia="Garamond" w:hAnsi="Garamond" w:cs="Garamond"/>
          <w:b/>
          <w:color w:val="000000"/>
        </w:rPr>
        <w:t xml:space="preserve"> (2-3 pages)</w:t>
      </w:r>
    </w:p>
    <w:p w14:paraId="67E0B18A" w14:textId="77777777" w:rsidR="002739F1" w:rsidRPr="008B5313" w:rsidRDefault="002739F1" w:rsidP="002739F1">
      <w:pPr>
        <w:pBdr>
          <w:top w:val="nil"/>
          <w:left w:val="nil"/>
          <w:bottom w:val="nil"/>
          <w:right w:val="nil"/>
          <w:between w:val="nil"/>
        </w:pBdr>
        <w:ind w:left="360"/>
        <w:rPr>
          <w:rFonts w:ascii="Garamond" w:eastAsia="Garamond" w:hAnsi="Garamond" w:cs="Garamond"/>
          <w:b/>
          <w:bCs/>
          <w:color w:val="000000"/>
        </w:rPr>
      </w:pPr>
    </w:p>
    <w:p w14:paraId="012A552D" w14:textId="77777777" w:rsidR="00A95227" w:rsidRPr="002739F1" w:rsidRDefault="00A95227" w:rsidP="002739F1">
      <w:pPr>
        <w:pStyle w:val="ListParagraph"/>
        <w:rPr>
          <w:rFonts w:ascii="Garamond" w:eastAsia="Garamond" w:hAnsi="Garamond" w:cs="Garamond"/>
          <w:b/>
        </w:rPr>
      </w:pPr>
    </w:p>
    <w:p w14:paraId="3BD31120" w14:textId="15A8821A" w:rsidR="002739F1" w:rsidRDefault="00A95227" w:rsidP="002739F1">
      <w:pPr>
        <w:rPr>
          <w:rFonts w:ascii="Garamond" w:eastAsia="Garamond" w:hAnsi="Garamond" w:cs="Garamond"/>
          <w:b/>
        </w:rPr>
      </w:pPr>
      <w:r>
        <w:rPr>
          <w:rFonts w:ascii="Garamond" w:eastAsia="Garamond" w:hAnsi="Garamond" w:cs="Garamond"/>
          <w:b/>
        </w:rPr>
        <w:lastRenderedPageBreak/>
        <w:t>November 1</w:t>
      </w:r>
      <w:r w:rsidR="00DF47D0">
        <w:rPr>
          <w:rFonts w:ascii="Garamond" w:eastAsia="Garamond" w:hAnsi="Garamond" w:cs="Garamond"/>
          <w:b/>
        </w:rPr>
        <w:t>0</w:t>
      </w:r>
      <w:r>
        <w:rPr>
          <w:rFonts w:ascii="Garamond" w:eastAsia="Garamond" w:hAnsi="Garamond" w:cs="Garamond"/>
          <w:b/>
        </w:rPr>
        <w:t xml:space="preserve">: </w:t>
      </w:r>
      <w:r w:rsidR="002739F1">
        <w:rPr>
          <w:rFonts w:ascii="Garamond" w:eastAsia="Garamond" w:hAnsi="Garamond" w:cs="Garamond"/>
          <w:b/>
        </w:rPr>
        <w:t>Domestic Workers – “Women’s Work” and Legacies of Colonial Violence</w:t>
      </w:r>
    </w:p>
    <w:p w14:paraId="2B44C188" w14:textId="77777777" w:rsidR="002739F1" w:rsidRDefault="002739F1" w:rsidP="002739F1">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Elizabeth Quay Hutchison, "Shifting Solidarities: The Politics of Household Workers in Cold War Chile," </w:t>
      </w:r>
      <w:r>
        <w:rPr>
          <w:rFonts w:ascii="Garamond" w:eastAsia="Garamond" w:hAnsi="Garamond" w:cs="Garamond"/>
          <w:i/>
          <w:color w:val="000000"/>
        </w:rPr>
        <w:t xml:space="preserve">The Hispanic American Historical Review, </w:t>
      </w:r>
      <w:r>
        <w:rPr>
          <w:rFonts w:ascii="Garamond" w:eastAsia="Garamond" w:hAnsi="Garamond" w:cs="Garamond"/>
          <w:color w:val="000000"/>
        </w:rPr>
        <w:t>p. 129-162</w:t>
      </w:r>
    </w:p>
    <w:p w14:paraId="07C14E22" w14:textId="77777777" w:rsidR="002739F1" w:rsidRDefault="002739F1" w:rsidP="002739F1">
      <w:pPr>
        <w:numPr>
          <w:ilvl w:val="0"/>
          <w:numId w:val="2"/>
        </w:numPr>
        <w:pBdr>
          <w:top w:val="nil"/>
          <w:left w:val="nil"/>
          <w:bottom w:val="nil"/>
          <w:right w:val="nil"/>
          <w:between w:val="nil"/>
        </w:pBdr>
        <w:rPr>
          <w:rFonts w:ascii="Garamond" w:eastAsia="Garamond" w:hAnsi="Garamond" w:cs="Garamond"/>
          <w:color w:val="000000"/>
        </w:rPr>
      </w:pPr>
      <w:proofErr w:type="spellStart"/>
      <w:r>
        <w:rPr>
          <w:rFonts w:ascii="Garamond" w:eastAsia="Garamond" w:hAnsi="Garamond" w:cs="Garamond"/>
          <w:color w:val="000000"/>
        </w:rPr>
        <w:t>Joaze</w:t>
      </w:r>
      <w:proofErr w:type="spellEnd"/>
      <w:r>
        <w:rPr>
          <w:rFonts w:ascii="Garamond" w:eastAsia="Garamond" w:hAnsi="Garamond" w:cs="Garamond"/>
          <w:color w:val="000000"/>
        </w:rPr>
        <w:t xml:space="preserve"> Bernardino-Costa, "Destabilizing the National Hegemonic Narrative: The Decolonized Thought of Brazil's Domestic Workers' Unions," </w:t>
      </w:r>
      <w:r>
        <w:rPr>
          <w:rFonts w:ascii="Garamond" w:eastAsia="Garamond" w:hAnsi="Garamond" w:cs="Garamond"/>
          <w:i/>
          <w:color w:val="000000"/>
        </w:rPr>
        <w:t xml:space="preserve">Latin American Perspectives, </w:t>
      </w:r>
      <w:r>
        <w:rPr>
          <w:rFonts w:ascii="Garamond" w:eastAsia="Garamond" w:hAnsi="Garamond" w:cs="Garamond"/>
          <w:color w:val="000000"/>
        </w:rPr>
        <w:t>p. 33-45</w:t>
      </w:r>
    </w:p>
    <w:p w14:paraId="1994AECA" w14:textId="74A7216A" w:rsidR="00DF47D0" w:rsidRDefault="002739F1" w:rsidP="00356D90">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Adelinda Díaz Uriarte, “The Autobiography of a Fighter” in </w:t>
      </w:r>
      <w:r>
        <w:rPr>
          <w:rFonts w:ascii="Garamond" w:eastAsia="Garamond" w:hAnsi="Garamond" w:cs="Garamond"/>
          <w:i/>
          <w:color w:val="000000"/>
        </w:rPr>
        <w:t xml:space="preserve">Muchachas No More, </w:t>
      </w:r>
      <w:r>
        <w:rPr>
          <w:rFonts w:ascii="Garamond" w:eastAsia="Garamond" w:hAnsi="Garamond" w:cs="Garamond"/>
          <w:color w:val="000000"/>
        </w:rPr>
        <w:t>ed. Elsa M. Chaney and Mary Garcia Castro, p. 389-406</w:t>
      </w:r>
    </w:p>
    <w:p w14:paraId="2E66276C" w14:textId="3DCDF2CD" w:rsidR="00446CE7" w:rsidRPr="00356D90" w:rsidRDefault="00446CE7" w:rsidP="00356D90">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b/>
          <w:bCs/>
          <w:color w:val="000000"/>
        </w:rPr>
        <w:t>Annotated Bibliography due November 14 (</w:t>
      </w:r>
      <w:r w:rsidR="00086E13">
        <w:rPr>
          <w:rFonts w:ascii="Garamond" w:eastAsia="Garamond" w:hAnsi="Garamond" w:cs="Garamond"/>
          <w:b/>
          <w:bCs/>
          <w:color w:val="000000"/>
        </w:rPr>
        <w:t>5-7</w:t>
      </w:r>
      <w:r>
        <w:rPr>
          <w:rFonts w:ascii="Garamond" w:eastAsia="Garamond" w:hAnsi="Garamond" w:cs="Garamond"/>
          <w:b/>
          <w:bCs/>
          <w:color w:val="000000"/>
        </w:rPr>
        <w:t xml:space="preserve"> sources)</w:t>
      </w:r>
    </w:p>
    <w:p w14:paraId="58B2EDF3" w14:textId="77777777" w:rsidR="00A95227" w:rsidRDefault="00A95227" w:rsidP="00A95227">
      <w:pPr>
        <w:rPr>
          <w:rFonts w:ascii="Garamond" w:eastAsia="Garamond" w:hAnsi="Garamond" w:cs="Garamond"/>
          <w:b/>
        </w:rPr>
      </w:pPr>
    </w:p>
    <w:p w14:paraId="635F5D90" w14:textId="114605C7" w:rsidR="00A95227" w:rsidRDefault="00A95227" w:rsidP="00A95227">
      <w:pPr>
        <w:rPr>
          <w:rFonts w:ascii="Garamond" w:eastAsia="Garamond" w:hAnsi="Garamond" w:cs="Garamond"/>
          <w:b/>
        </w:rPr>
      </w:pPr>
      <w:r>
        <w:rPr>
          <w:rFonts w:ascii="Garamond" w:eastAsia="Garamond" w:hAnsi="Garamond" w:cs="Garamond"/>
          <w:b/>
        </w:rPr>
        <w:t>November 1</w:t>
      </w:r>
      <w:r w:rsidR="00DF47D0">
        <w:rPr>
          <w:rFonts w:ascii="Garamond" w:eastAsia="Garamond" w:hAnsi="Garamond" w:cs="Garamond"/>
          <w:b/>
        </w:rPr>
        <w:t>7</w:t>
      </w:r>
      <w:r>
        <w:rPr>
          <w:rFonts w:ascii="Garamond" w:eastAsia="Garamond" w:hAnsi="Garamond" w:cs="Garamond"/>
          <w:b/>
        </w:rPr>
        <w:t>, Week 11: Sex Workers – Labor, Deviance</w:t>
      </w:r>
      <w:r w:rsidR="00446CE7">
        <w:rPr>
          <w:rFonts w:ascii="Garamond" w:eastAsia="Garamond" w:hAnsi="Garamond" w:cs="Garamond"/>
          <w:b/>
        </w:rPr>
        <w:t>,</w:t>
      </w:r>
      <w:r>
        <w:rPr>
          <w:rFonts w:ascii="Garamond" w:eastAsia="Garamond" w:hAnsi="Garamond" w:cs="Garamond"/>
          <w:b/>
        </w:rPr>
        <w:t xml:space="preserve"> and Defiance </w:t>
      </w:r>
    </w:p>
    <w:p w14:paraId="5C9558CB" w14:textId="77777777" w:rsidR="00A95227" w:rsidRDefault="00A95227" w:rsidP="00A95227">
      <w:pPr>
        <w:numPr>
          <w:ilvl w:val="0"/>
          <w:numId w:val="2"/>
        </w:numPr>
        <w:pBdr>
          <w:top w:val="nil"/>
          <w:left w:val="nil"/>
          <w:bottom w:val="nil"/>
          <w:right w:val="nil"/>
          <w:between w:val="nil"/>
        </w:pBdr>
        <w:rPr>
          <w:rFonts w:ascii="Garamond" w:eastAsia="Garamond" w:hAnsi="Garamond" w:cs="Garamond"/>
          <w:color w:val="000000"/>
        </w:rPr>
      </w:pPr>
      <w:proofErr w:type="spellStart"/>
      <w:r>
        <w:rPr>
          <w:rFonts w:ascii="Garamond" w:eastAsia="Garamond" w:hAnsi="Garamond" w:cs="Garamond"/>
          <w:color w:val="000000"/>
        </w:rPr>
        <w:t>Mizilikazi</w:t>
      </w:r>
      <w:proofErr w:type="spellEnd"/>
      <w:r>
        <w:rPr>
          <w:rFonts w:ascii="Garamond" w:eastAsia="Garamond" w:hAnsi="Garamond" w:cs="Garamond"/>
          <w:color w:val="000000"/>
        </w:rPr>
        <w:t xml:space="preserve"> Koné, “Transnational Sex Worker Organizing in Latin America: </w:t>
      </w:r>
      <w:proofErr w:type="spellStart"/>
      <w:r>
        <w:rPr>
          <w:rFonts w:ascii="Garamond" w:eastAsia="Garamond" w:hAnsi="Garamond" w:cs="Garamond"/>
          <w:color w:val="000000"/>
        </w:rPr>
        <w:t>RedTraSex</w:t>
      </w:r>
      <w:proofErr w:type="spellEnd"/>
      <w:r>
        <w:rPr>
          <w:rFonts w:ascii="Garamond" w:eastAsia="Garamond" w:hAnsi="Garamond" w:cs="Garamond"/>
          <w:color w:val="000000"/>
        </w:rPr>
        <w:t xml:space="preserve">, </w:t>
      </w:r>
      <w:proofErr w:type="spellStart"/>
      <w:r>
        <w:rPr>
          <w:rFonts w:ascii="Garamond" w:eastAsia="Garamond" w:hAnsi="Garamond" w:cs="Garamond"/>
          <w:color w:val="000000"/>
        </w:rPr>
        <w:t>Labour</w:t>
      </w:r>
      <w:proofErr w:type="spellEnd"/>
      <w:r>
        <w:rPr>
          <w:rFonts w:ascii="Garamond" w:eastAsia="Garamond" w:hAnsi="Garamond" w:cs="Garamond"/>
          <w:color w:val="000000"/>
        </w:rPr>
        <w:t xml:space="preserve">, and Human Rights,” </w:t>
      </w:r>
      <w:r>
        <w:rPr>
          <w:rFonts w:ascii="Garamond" w:eastAsia="Garamond" w:hAnsi="Garamond" w:cs="Garamond"/>
          <w:i/>
          <w:color w:val="000000"/>
        </w:rPr>
        <w:t xml:space="preserve">Social and Economic Studies; </w:t>
      </w:r>
      <w:r>
        <w:rPr>
          <w:rFonts w:ascii="Garamond" w:eastAsia="Garamond" w:hAnsi="Garamond" w:cs="Garamond"/>
          <w:color w:val="000000"/>
        </w:rPr>
        <w:t>p. 87-108</w:t>
      </w:r>
    </w:p>
    <w:p w14:paraId="687C4AC5" w14:textId="77777777" w:rsidR="00A95227"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i/>
          <w:color w:val="000000"/>
        </w:rPr>
        <w:t>Global sex workers: rights, resistance, and redefinition</w:t>
      </w:r>
      <w:r>
        <w:rPr>
          <w:rFonts w:ascii="Garamond" w:eastAsia="Garamond" w:hAnsi="Garamond" w:cs="Garamond"/>
          <w:color w:val="000000"/>
        </w:rPr>
        <w:t xml:space="preserve">, edited by Kamala </w:t>
      </w:r>
      <w:proofErr w:type="spellStart"/>
      <w:r>
        <w:rPr>
          <w:rFonts w:ascii="Garamond" w:eastAsia="Garamond" w:hAnsi="Garamond" w:cs="Garamond"/>
          <w:color w:val="000000"/>
        </w:rPr>
        <w:t>Kempadoo</w:t>
      </w:r>
      <w:proofErr w:type="spellEnd"/>
      <w:r>
        <w:rPr>
          <w:rFonts w:ascii="Garamond" w:eastAsia="Garamond" w:hAnsi="Garamond" w:cs="Garamond"/>
          <w:color w:val="000000"/>
        </w:rPr>
        <w:t xml:space="preserve"> and Jo Doezema: Amalia Lucía Cabezas, “Discourses of Prostitution;” The Association of Autonomous Women Workers, Ecuador, "22nd June;” "A world of people: sex workers in Mexico;” p. 79-86, p. 172-177, 197-199</w:t>
      </w:r>
    </w:p>
    <w:p w14:paraId="034D5E68" w14:textId="1F5EB37B" w:rsidR="00A95227" w:rsidRPr="002D20A5"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Excerpts of </w:t>
      </w:r>
      <w:r w:rsidR="00356D90">
        <w:rPr>
          <w:rFonts w:ascii="Garamond" w:eastAsia="Garamond" w:hAnsi="Garamond" w:cs="Garamond"/>
          <w:i/>
          <w:color w:val="000000"/>
        </w:rPr>
        <w:t>Daughter, Mother, Grandmother, and Whore: The Story of a Woman who Decided to be a Puta</w:t>
      </w:r>
      <w:r>
        <w:rPr>
          <w:rFonts w:ascii="Garamond" w:eastAsia="Garamond" w:hAnsi="Garamond" w:cs="Garamond"/>
          <w:i/>
          <w:color w:val="000000"/>
        </w:rPr>
        <w:t xml:space="preserve"> </w:t>
      </w:r>
      <w:r>
        <w:rPr>
          <w:rFonts w:ascii="Garamond" w:eastAsia="Garamond" w:hAnsi="Garamond" w:cs="Garamond"/>
          <w:color w:val="000000"/>
        </w:rPr>
        <w:t>by Gabriela Leite, translated by Meg Weeks</w:t>
      </w:r>
    </w:p>
    <w:p w14:paraId="4A2B7267" w14:textId="77777777" w:rsidR="00A95227" w:rsidRDefault="00A95227" w:rsidP="00A95227">
      <w:pPr>
        <w:numPr>
          <w:ilvl w:val="0"/>
          <w:numId w:val="2"/>
        </w:numPr>
        <w:pBdr>
          <w:top w:val="nil"/>
          <w:left w:val="nil"/>
          <w:bottom w:val="nil"/>
          <w:right w:val="nil"/>
          <w:between w:val="nil"/>
        </w:pBdr>
        <w:rPr>
          <w:rFonts w:ascii="Garamond" w:eastAsia="Garamond" w:hAnsi="Garamond" w:cs="Garamond"/>
          <w:color w:val="000000"/>
        </w:rPr>
      </w:pPr>
      <w:r>
        <w:rPr>
          <w:rFonts w:ascii="Garamond" w:eastAsia="Garamond" w:hAnsi="Garamond" w:cs="Garamond"/>
          <w:i/>
          <w:color w:val="000000"/>
        </w:rPr>
        <w:t>A Kiss for Gabriela</w:t>
      </w:r>
      <w:r>
        <w:rPr>
          <w:rFonts w:ascii="Garamond" w:eastAsia="Garamond" w:hAnsi="Garamond" w:cs="Garamond"/>
          <w:color w:val="000000"/>
        </w:rPr>
        <w:t xml:space="preserve">, a documentary by Laura Murray: </w:t>
      </w:r>
      <w:hyperlink r:id="rId18" w:history="1">
        <w:r w:rsidRPr="007E04EC">
          <w:rPr>
            <w:rStyle w:val="Hyperlink"/>
            <w:rFonts w:ascii="Garamond" w:eastAsia="Garamond" w:hAnsi="Garamond" w:cs="Garamond"/>
          </w:rPr>
          <w:t>https://www.youtube.com/watch?v=LqgwDysJjY0</w:t>
        </w:r>
      </w:hyperlink>
      <w:r>
        <w:rPr>
          <w:rFonts w:ascii="Garamond" w:eastAsia="Garamond" w:hAnsi="Garamond" w:cs="Garamond"/>
          <w:color w:val="000000"/>
        </w:rPr>
        <w:t xml:space="preserve"> </w:t>
      </w:r>
    </w:p>
    <w:p w14:paraId="786E16E6" w14:textId="77777777" w:rsidR="00446CE7" w:rsidRDefault="00446CE7" w:rsidP="00446CE7">
      <w:pPr>
        <w:pBdr>
          <w:top w:val="nil"/>
          <w:left w:val="nil"/>
          <w:bottom w:val="nil"/>
          <w:right w:val="nil"/>
          <w:between w:val="nil"/>
        </w:pBdr>
        <w:rPr>
          <w:rFonts w:ascii="Garamond" w:eastAsia="Garamond" w:hAnsi="Garamond" w:cs="Garamond"/>
          <w:i/>
          <w:color w:val="000000"/>
        </w:rPr>
      </w:pPr>
    </w:p>
    <w:p w14:paraId="24D3794B" w14:textId="799AF44C" w:rsidR="00446CE7" w:rsidRPr="00446CE7" w:rsidRDefault="00446CE7" w:rsidP="00446CE7">
      <w:pPr>
        <w:pBdr>
          <w:top w:val="nil"/>
          <w:left w:val="nil"/>
          <w:bottom w:val="nil"/>
          <w:right w:val="nil"/>
          <w:between w:val="nil"/>
        </w:pBdr>
        <w:rPr>
          <w:rFonts w:ascii="Garamond" w:eastAsia="Garamond" w:hAnsi="Garamond" w:cs="Garamond"/>
          <w:b/>
          <w:bCs/>
          <w:iCs/>
          <w:color w:val="000000"/>
        </w:rPr>
      </w:pPr>
      <w:r>
        <w:rPr>
          <w:rFonts w:ascii="Garamond" w:eastAsia="Garamond" w:hAnsi="Garamond" w:cs="Garamond"/>
          <w:b/>
          <w:bCs/>
          <w:iCs/>
          <w:color w:val="000000"/>
        </w:rPr>
        <w:t xml:space="preserve">Nov. 24-28: </w:t>
      </w:r>
      <w:r w:rsidRPr="00446CE7">
        <w:rPr>
          <w:rFonts w:ascii="Garamond" w:eastAsia="Garamond" w:hAnsi="Garamond" w:cs="Garamond"/>
          <w:b/>
          <w:bCs/>
          <w:iCs/>
          <w:color w:val="000000"/>
        </w:rPr>
        <w:t>Thanksgiving Break, No Class</w:t>
      </w:r>
    </w:p>
    <w:p w14:paraId="7FD0C337" w14:textId="77777777" w:rsidR="00A95227" w:rsidRDefault="00A95227" w:rsidP="00A95227">
      <w:pPr>
        <w:rPr>
          <w:rFonts w:ascii="Garamond" w:eastAsia="Garamond" w:hAnsi="Garamond" w:cs="Garamond"/>
          <w:b/>
        </w:rPr>
      </w:pPr>
    </w:p>
    <w:p w14:paraId="06DE181C" w14:textId="08C99E49" w:rsidR="00A95227" w:rsidRDefault="00A95227" w:rsidP="00A95227">
      <w:pPr>
        <w:rPr>
          <w:rFonts w:ascii="Garamond" w:eastAsia="Garamond" w:hAnsi="Garamond" w:cs="Garamond"/>
          <w:b/>
        </w:rPr>
      </w:pPr>
      <w:r>
        <w:rPr>
          <w:rFonts w:ascii="Garamond" w:eastAsia="Garamond" w:hAnsi="Garamond" w:cs="Garamond"/>
          <w:b/>
        </w:rPr>
        <w:t xml:space="preserve">December </w:t>
      </w:r>
      <w:r w:rsidR="00DF47D0">
        <w:rPr>
          <w:rFonts w:ascii="Garamond" w:eastAsia="Garamond" w:hAnsi="Garamond" w:cs="Garamond"/>
          <w:b/>
        </w:rPr>
        <w:t>1</w:t>
      </w:r>
      <w:r>
        <w:rPr>
          <w:rFonts w:ascii="Garamond" w:eastAsia="Garamond" w:hAnsi="Garamond" w:cs="Garamond"/>
          <w:b/>
        </w:rPr>
        <w:t>, Week 12: LGBTQ Activists – Rights, Assimilation, and (Non-)Normativity in Post-Cold War Democracies</w:t>
      </w:r>
    </w:p>
    <w:p w14:paraId="114F98B5" w14:textId="77777777" w:rsidR="00A95227" w:rsidRPr="00446CE7" w:rsidRDefault="00A95227" w:rsidP="00A95227">
      <w:pPr>
        <w:numPr>
          <w:ilvl w:val="0"/>
          <w:numId w:val="2"/>
        </w:numPr>
        <w:pBdr>
          <w:top w:val="nil"/>
          <w:left w:val="nil"/>
          <w:bottom w:val="nil"/>
          <w:right w:val="nil"/>
          <w:between w:val="nil"/>
        </w:pBdr>
        <w:rPr>
          <w:rFonts w:ascii="Garamond" w:eastAsia="Garamond" w:hAnsi="Garamond" w:cs="Garamond"/>
          <w:color w:val="0C3512" w:themeColor="accent3" w:themeShade="80"/>
        </w:rPr>
      </w:pPr>
      <w:r>
        <w:rPr>
          <w:rFonts w:ascii="Garamond" w:eastAsia="Garamond" w:hAnsi="Garamond" w:cs="Garamond"/>
          <w:color w:val="000000"/>
        </w:rPr>
        <w:t xml:space="preserve">Cymene Howe, </w:t>
      </w:r>
      <w:r>
        <w:rPr>
          <w:rFonts w:ascii="Garamond" w:eastAsia="Garamond" w:hAnsi="Garamond" w:cs="Garamond"/>
          <w:i/>
          <w:color w:val="000000"/>
        </w:rPr>
        <w:t>Intimate Activism: The Struggle for Sexual Rights in Postrevolutionary Nicaragua</w:t>
      </w:r>
      <w:r>
        <w:rPr>
          <w:rFonts w:ascii="Garamond" w:eastAsia="Garamond" w:hAnsi="Garamond" w:cs="Garamond"/>
          <w:color w:val="000000"/>
        </w:rPr>
        <w:t xml:space="preserve">, </w:t>
      </w:r>
      <w:r w:rsidRPr="00446CE7">
        <w:rPr>
          <w:rFonts w:ascii="Garamond" w:eastAsia="Garamond" w:hAnsi="Garamond" w:cs="Garamond"/>
          <w:color w:val="0C3512" w:themeColor="accent3" w:themeShade="80"/>
        </w:rPr>
        <w:t>Introduction; p. 1-22</w:t>
      </w:r>
    </w:p>
    <w:p w14:paraId="35A20383" w14:textId="77777777" w:rsidR="00A95227" w:rsidRPr="00446CE7" w:rsidRDefault="00A95227" w:rsidP="00A95227">
      <w:pPr>
        <w:numPr>
          <w:ilvl w:val="0"/>
          <w:numId w:val="2"/>
        </w:numPr>
        <w:shd w:val="clear" w:color="auto" w:fill="FFFFFF"/>
        <w:spacing w:before="100" w:beforeAutospacing="1" w:after="100" w:afterAutospacing="1"/>
        <w:rPr>
          <w:rFonts w:ascii="Garamond" w:eastAsia="Times New Roman" w:hAnsi="Garamond" w:cs="Times New Roman"/>
          <w:color w:val="0C3512" w:themeColor="accent3" w:themeShade="80"/>
          <w:lang w:eastAsia="en-US"/>
        </w:rPr>
      </w:pPr>
      <w:r w:rsidRPr="00446CE7">
        <w:rPr>
          <w:rFonts w:ascii="Garamond" w:eastAsia="Times New Roman" w:hAnsi="Garamond" w:cs="Times New Roman"/>
          <w:color w:val="0C3512" w:themeColor="accent3" w:themeShade="80"/>
          <w:lang w:eastAsia="en-US"/>
        </w:rPr>
        <w:t xml:space="preserve">Stephen Brown, "'Con </w:t>
      </w:r>
      <w:proofErr w:type="spellStart"/>
      <w:r w:rsidRPr="00446CE7">
        <w:rPr>
          <w:rFonts w:ascii="Garamond" w:eastAsia="Times New Roman" w:hAnsi="Garamond" w:cs="Times New Roman"/>
          <w:color w:val="0C3512" w:themeColor="accent3" w:themeShade="80"/>
          <w:lang w:eastAsia="en-US"/>
        </w:rPr>
        <w:t>Discriminación</w:t>
      </w:r>
      <w:proofErr w:type="spellEnd"/>
      <w:r w:rsidRPr="00446CE7">
        <w:rPr>
          <w:rFonts w:ascii="Garamond" w:eastAsia="Times New Roman" w:hAnsi="Garamond" w:cs="Times New Roman"/>
          <w:color w:val="0C3512" w:themeColor="accent3" w:themeShade="80"/>
          <w:lang w:eastAsia="en-US"/>
        </w:rPr>
        <w:t xml:space="preserve"> y </w:t>
      </w:r>
      <w:proofErr w:type="spellStart"/>
      <w:r w:rsidRPr="00446CE7">
        <w:rPr>
          <w:rFonts w:ascii="Garamond" w:eastAsia="Times New Roman" w:hAnsi="Garamond" w:cs="Times New Roman"/>
          <w:color w:val="0C3512" w:themeColor="accent3" w:themeShade="80"/>
          <w:lang w:eastAsia="en-US"/>
        </w:rPr>
        <w:t>Represión</w:t>
      </w:r>
      <w:proofErr w:type="spellEnd"/>
      <w:r w:rsidRPr="00446CE7">
        <w:rPr>
          <w:rFonts w:ascii="Garamond" w:eastAsia="Times New Roman" w:hAnsi="Garamond" w:cs="Times New Roman"/>
          <w:color w:val="0C3512" w:themeColor="accent3" w:themeShade="80"/>
          <w:lang w:eastAsia="en-US"/>
        </w:rPr>
        <w:t xml:space="preserve"> No Hay Democracia': The Lesbian and Gay Movement in Argentina," in </w:t>
      </w:r>
      <w:r w:rsidRPr="00446CE7">
        <w:rPr>
          <w:rFonts w:ascii="Garamond" w:eastAsia="Times New Roman" w:hAnsi="Garamond" w:cs="Times New Roman"/>
          <w:i/>
          <w:iCs/>
          <w:color w:val="0C3512" w:themeColor="accent3" w:themeShade="80"/>
          <w:lang w:eastAsia="en-US"/>
        </w:rPr>
        <w:t>The Politics of Sexuality in Latin America, </w:t>
      </w:r>
      <w:r w:rsidRPr="00446CE7">
        <w:rPr>
          <w:rFonts w:ascii="Garamond" w:eastAsia="Times New Roman" w:hAnsi="Garamond" w:cs="Times New Roman"/>
          <w:color w:val="0C3512" w:themeColor="accent3" w:themeShade="80"/>
          <w:lang w:eastAsia="en-US"/>
        </w:rPr>
        <w:t xml:space="preserve">ed. Javier Corrales and Mario </w:t>
      </w:r>
      <w:proofErr w:type="spellStart"/>
      <w:r w:rsidRPr="00446CE7">
        <w:rPr>
          <w:rFonts w:ascii="Garamond" w:eastAsia="Times New Roman" w:hAnsi="Garamond" w:cs="Times New Roman"/>
          <w:color w:val="0C3512" w:themeColor="accent3" w:themeShade="80"/>
          <w:lang w:eastAsia="en-US"/>
        </w:rPr>
        <w:t>Pecheny</w:t>
      </w:r>
      <w:proofErr w:type="spellEnd"/>
      <w:r w:rsidRPr="00446CE7">
        <w:rPr>
          <w:rFonts w:ascii="Garamond" w:eastAsia="Times New Roman" w:hAnsi="Garamond" w:cs="Times New Roman"/>
          <w:color w:val="0C3512" w:themeColor="accent3" w:themeShade="80"/>
          <w:lang w:eastAsia="en-US"/>
        </w:rPr>
        <w:t>, p. 86-101</w:t>
      </w:r>
    </w:p>
    <w:p w14:paraId="236D956E" w14:textId="77777777" w:rsidR="00A95227" w:rsidRPr="00446CE7" w:rsidRDefault="00A95227" w:rsidP="00A95227">
      <w:pPr>
        <w:numPr>
          <w:ilvl w:val="0"/>
          <w:numId w:val="2"/>
        </w:numPr>
        <w:pBdr>
          <w:top w:val="nil"/>
          <w:left w:val="nil"/>
          <w:bottom w:val="nil"/>
          <w:right w:val="nil"/>
          <w:between w:val="nil"/>
        </w:pBdr>
        <w:rPr>
          <w:rFonts w:ascii="Garamond" w:eastAsia="Garamond" w:hAnsi="Garamond" w:cs="Garamond"/>
          <w:color w:val="0C3512" w:themeColor="accent3" w:themeShade="80"/>
          <w:lang w:val="it-IT"/>
        </w:rPr>
      </w:pPr>
      <w:r w:rsidRPr="00446CE7">
        <w:rPr>
          <w:rFonts w:ascii="Garamond" w:eastAsia="Garamond" w:hAnsi="Garamond" w:cs="Garamond"/>
          <w:color w:val="0C3512" w:themeColor="accent3" w:themeShade="80"/>
          <w:lang w:val="it-IT"/>
        </w:rPr>
        <w:t xml:space="preserve">Moises Lino e Silva, </w:t>
      </w:r>
      <w:proofErr w:type="spellStart"/>
      <w:r w:rsidRPr="00446CE7">
        <w:rPr>
          <w:rFonts w:ascii="Garamond" w:eastAsia="Garamond" w:hAnsi="Garamond" w:cs="Garamond"/>
          <w:i/>
          <w:color w:val="0C3512" w:themeColor="accent3" w:themeShade="80"/>
          <w:lang w:val="it-IT"/>
        </w:rPr>
        <w:t>Minoritarian</w:t>
      </w:r>
      <w:proofErr w:type="spellEnd"/>
      <w:r w:rsidRPr="00446CE7">
        <w:rPr>
          <w:rFonts w:ascii="Garamond" w:eastAsia="Garamond" w:hAnsi="Garamond" w:cs="Garamond"/>
          <w:i/>
          <w:color w:val="0C3512" w:themeColor="accent3" w:themeShade="80"/>
          <w:lang w:val="it-IT"/>
        </w:rPr>
        <w:t xml:space="preserve"> </w:t>
      </w:r>
      <w:proofErr w:type="spellStart"/>
      <w:r w:rsidRPr="00446CE7">
        <w:rPr>
          <w:rFonts w:ascii="Garamond" w:eastAsia="Garamond" w:hAnsi="Garamond" w:cs="Garamond"/>
          <w:i/>
          <w:color w:val="0C3512" w:themeColor="accent3" w:themeShade="80"/>
          <w:lang w:val="it-IT"/>
        </w:rPr>
        <w:t>Liberalism</w:t>
      </w:r>
      <w:proofErr w:type="spellEnd"/>
      <w:r w:rsidRPr="00446CE7">
        <w:rPr>
          <w:rFonts w:ascii="Garamond" w:eastAsia="Garamond" w:hAnsi="Garamond" w:cs="Garamond"/>
          <w:i/>
          <w:color w:val="0C3512" w:themeColor="accent3" w:themeShade="80"/>
          <w:lang w:val="it-IT"/>
        </w:rPr>
        <w:t xml:space="preserve">: A Travesti Life in a </w:t>
      </w:r>
      <w:proofErr w:type="spellStart"/>
      <w:r w:rsidRPr="00446CE7">
        <w:rPr>
          <w:rFonts w:ascii="Garamond" w:eastAsia="Garamond" w:hAnsi="Garamond" w:cs="Garamond"/>
          <w:i/>
          <w:color w:val="0C3512" w:themeColor="accent3" w:themeShade="80"/>
          <w:lang w:val="it-IT"/>
        </w:rPr>
        <w:t>Brazilian</w:t>
      </w:r>
      <w:proofErr w:type="spellEnd"/>
      <w:r w:rsidRPr="00446CE7">
        <w:rPr>
          <w:rFonts w:ascii="Garamond" w:eastAsia="Garamond" w:hAnsi="Garamond" w:cs="Garamond"/>
          <w:i/>
          <w:color w:val="0C3512" w:themeColor="accent3" w:themeShade="80"/>
          <w:lang w:val="it-IT"/>
        </w:rPr>
        <w:t xml:space="preserve"> Favela</w:t>
      </w:r>
      <w:r w:rsidRPr="00446CE7">
        <w:rPr>
          <w:rFonts w:ascii="Garamond" w:eastAsia="Garamond" w:hAnsi="Garamond" w:cs="Garamond"/>
          <w:color w:val="0C3512" w:themeColor="accent3" w:themeShade="80"/>
          <w:lang w:val="it-IT"/>
        </w:rPr>
        <w:t xml:space="preserve">, </w:t>
      </w:r>
      <w:proofErr w:type="spellStart"/>
      <w:r w:rsidRPr="00446CE7">
        <w:rPr>
          <w:rFonts w:ascii="Garamond" w:eastAsia="Garamond" w:hAnsi="Garamond" w:cs="Garamond"/>
          <w:color w:val="0C3512" w:themeColor="accent3" w:themeShade="80"/>
          <w:lang w:val="it-IT"/>
        </w:rPr>
        <w:t>Introduction</w:t>
      </w:r>
      <w:proofErr w:type="spellEnd"/>
      <w:r w:rsidRPr="00446CE7">
        <w:rPr>
          <w:rFonts w:ascii="Garamond" w:eastAsia="Garamond" w:hAnsi="Garamond" w:cs="Garamond"/>
          <w:color w:val="0C3512" w:themeColor="accent3" w:themeShade="80"/>
          <w:lang w:val="it-IT"/>
        </w:rPr>
        <w:t>; p. 1-24</w:t>
      </w:r>
    </w:p>
    <w:p w14:paraId="3E0A5276" w14:textId="77777777" w:rsidR="00A95227" w:rsidRDefault="00A95227" w:rsidP="00A95227">
      <w:pPr>
        <w:pBdr>
          <w:top w:val="nil"/>
          <w:left w:val="nil"/>
          <w:bottom w:val="nil"/>
          <w:right w:val="nil"/>
          <w:between w:val="nil"/>
        </w:pBdr>
        <w:rPr>
          <w:rFonts w:ascii="Garamond" w:eastAsia="Garamond" w:hAnsi="Garamond" w:cs="Garamond"/>
          <w:color w:val="000000"/>
          <w:lang w:val="it-IT"/>
        </w:rPr>
      </w:pPr>
    </w:p>
    <w:p w14:paraId="2D0A46DE" w14:textId="01F7E1DC" w:rsidR="00A95227" w:rsidRDefault="00A95227" w:rsidP="00A95227">
      <w:pPr>
        <w:pBdr>
          <w:top w:val="nil"/>
          <w:left w:val="nil"/>
          <w:bottom w:val="nil"/>
          <w:right w:val="nil"/>
          <w:between w:val="nil"/>
        </w:pBdr>
        <w:rPr>
          <w:rFonts w:ascii="Garamond" w:eastAsia="Garamond" w:hAnsi="Garamond" w:cs="Garamond"/>
          <w:b/>
          <w:bCs/>
          <w:color w:val="000000"/>
          <w:lang w:val="it-IT"/>
        </w:rPr>
      </w:pPr>
      <w:proofErr w:type="spellStart"/>
      <w:r>
        <w:rPr>
          <w:rFonts w:ascii="Garamond" w:eastAsia="Garamond" w:hAnsi="Garamond" w:cs="Garamond"/>
          <w:b/>
          <w:bCs/>
          <w:color w:val="000000"/>
          <w:lang w:val="it-IT"/>
        </w:rPr>
        <w:t>Final</w:t>
      </w:r>
      <w:proofErr w:type="spellEnd"/>
      <w:r>
        <w:rPr>
          <w:rFonts w:ascii="Garamond" w:eastAsia="Garamond" w:hAnsi="Garamond" w:cs="Garamond"/>
          <w:b/>
          <w:bCs/>
          <w:color w:val="000000"/>
          <w:lang w:val="it-IT"/>
        </w:rPr>
        <w:t xml:space="preserve"> paper due </w:t>
      </w:r>
      <w:proofErr w:type="spellStart"/>
      <w:r>
        <w:rPr>
          <w:rFonts w:ascii="Garamond" w:eastAsia="Garamond" w:hAnsi="Garamond" w:cs="Garamond"/>
          <w:b/>
          <w:bCs/>
          <w:color w:val="000000"/>
          <w:lang w:val="it-IT"/>
        </w:rPr>
        <w:t>December</w:t>
      </w:r>
      <w:proofErr w:type="spellEnd"/>
      <w:r>
        <w:rPr>
          <w:rFonts w:ascii="Garamond" w:eastAsia="Garamond" w:hAnsi="Garamond" w:cs="Garamond"/>
          <w:b/>
          <w:bCs/>
          <w:color w:val="000000"/>
          <w:lang w:val="it-IT"/>
        </w:rPr>
        <w:t xml:space="preserve"> </w:t>
      </w:r>
      <w:r w:rsidR="00446CE7">
        <w:rPr>
          <w:rFonts w:ascii="Garamond" w:eastAsia="Garamond" w:hAnsi="Garamond" w:cs="Garamond"/>
          <w:b/>
          <w:bCs/>
          <w:color w:val="000000"/>
          <w:lang w:val="it-IT"/>
        </w:rPr>
        <w:t>8</w:t>
      </w:r>
    </w:p>
    <w:p w14:paraId="7E4D8FDB" w14:textId="77777777" w:rsidR="00A95227" w:rsidRPr="00B91F78" w:rsidRDefault="00A95227" w:rsidP="00A95227">
      <w:pPr>
        <w:pBdr>
          <w:top w:val="nil"/>
          <w:left w:val="nil"/>
          <w:bottom w:val="nil"/>
          <w:right w:val="nil"/>
          <w:between w:val="nil"/>
        </w:pBdr>
        <w:rPr>
          <w:rFonts w:ascii="Garamond" w:eastAsia="Garamond" w:hAnsi="Garamond" w:cs="Garamond"/>
          <w:b/>
          <w:bCs/>
          <w:color w:val="000000"/>
          <w:lang w:val="it-IT"/>
        </w:rPr>
      </w:pPr>
    </w:p>
    <w:p w14:paraId="0094C344" w14:textId="77777777" w:rsidR="00A95227" w:rsidRPr="00451B4B" w:rsidRDefault="00A95227" w:rsidP="00A95227">
      <w:pPr>
        <w:rPr>
          <w:rFonts w:ascii="Garamond" w:eastAsia="Garamond" w:hAnsi="Garamond" w:cs="Garamond"/>
          <w:b/>
          <w:lang w:val="it-IT"/>
        </w:rPr>
      </w:pPr>
    </w:p>
    <w:p w14:paraId="6613C12C" w14:textId="77777777" w:rsidR="00A95227" w:rsidRPr="00451B4B" w:rsidRDefault="00A95227" w:rsidP="00A95227">
      <w:pPr>
        <w:rPr>
          <w:rFonts w:ascii="Garamond" w:eastAsia="Garamond" w:hAnsi="Garamond" w:cs="Garamond"/>
          <w:i/>
          <w:lang w:val="it-IT"/>
        </w:rPr>
      </w:pPr>
    </w:p>
    <w:p w14:paraId="1EE69B0A" w14:textId="77777777" w:rsidR="00A95227" w:rsidRPr="00451B4B" w:rsidRDefault="00A95227" w:rsidP="00A95227">
      <w:pPr>
        <w:rPr>
          <w:rFonts w:ascii="Garamond" w:eastAsia="Garamond" w:hAnsi="Garamond" w:cs="Garamond"/>
          <w:lang w:val="it-IT"/>
        </w:rPr>
      </w:pPr>
    </w:p>
    <w:p w14:paraId="0FD69CB6" w14:textId="77777777" w:rsidR="00A95227" w:rsidRPr="00451B4B" w:rsidRDefault="00A95227" w:rsidP="00A95227">
      <w:pPr>
        <w:rPr>
          <w:rFonts w:ascii="Garamond" w:eastAsia="Garamond" w:hAnsi="Garamond" w:cs="Garamond"/>
          <w:lang w:val="it-IT"/>
        </w:rPr>
      </w:pPr>
    </w:p>
    <w:p w14:paraId="3746AFEF" w14:textId="77777777" w:rsidR="00A95227" w:rsidRPr="00451B4B" w:rsidRDefault="00A95227" w:rsidP="00A95227">
      <w:pPr>
        <w:rPr>
          <w:lang w:val="it-IT"/>
        </w:rPr>
      </w:pPr>
    </w:p>
    <w:p w14:paraId="26B35CE2" w14:textId="77777777" w:rsidR="00B40496" w:rsidRPr="00A95227" w:rsidRDefault="00B40496">
      <w:pPr>
        <w:rPr>
          <w:b/>
          <w:bCs/>
        </w:rPr>
      </w:pPr>
    </w:p>
    <w:sectPr w:rsidR="00B40496" w:rsidRPr="00A95227" w:rsidSect="00A9522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panose1 w:val="020B0604020202020204"/>
    <w:charset w:val="00"/>
    <w:family w:val="auto"/>
    <w:pitch w:val="default"/>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Body)">
    <w:altName w:val="Calibri"/>
    <w:panose1 w:val="020B0604020202020204"/>
    <w:charset w:val="00"/>
    <w:family w:val="roman"/>
    <w:pitch w:val="default"/>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876A4"/>
    <w:multiLevelType w:val="multilevel"/>
    <w:tmpl w:val="846A79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5D2721B"/>
    <w:multiLevelType w:val="multilevel"/>
    <w:tmpl w:val="6EFC4512"/>
    <w:lvl w:ilvl="0">
      <w:start w:val="28"/>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F8811AF"/>
    <w:multiLevelType w:val="multilevel"/>
    <w:tmpl w:val="3B14F76A"/>
    <w:lvl w:ilvl="0">
      <w:start w:val="5"/>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74958885">
    <w:abstractNumId w:val="0"/>
  </w:num>
  <w:num w:numId="2" w16cid:durableId="2000380115">
    <w:abstractNumId w:val="1"/>
  </w:num>
  <w:num w:numId="3" w16cid:durableId="5631763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227"/>
    <w:rsid w:val="00086E13"/>
    <w:rsid w:val="00237E94"/>
    <w:rsid w:val="002739F1"/>
    <w:rsid w:val="00356D90"/>
    <w:rsid w:val="00383D98"/>
    <w:rsid w:val="00446CE7"/>
    <w:rsid w:val="004716EA"/>
    <w:rsid w:val="004967D5"/>
    <w:rsid w:val="005909A9"/>
    <w:rsid w:val="005D7DF7"/>
    <w:rsid w:val="008103F7"/>
    <w:rsid w:val="00891085"/>
    <w:rsid w:val="009136C2"/>
    <w:rsid w:val="009B5B8F"/>
    <w:rsid w:val="009C2DF7"/>
    <w:rsid w:val="00A95227"/>
    <w:rsid w:val="00AF6C9E"/>
    <w:rsid w:val="00B40496"/>
    <w:rsid w:val="00B50660"/>
    <w:rsid w:val="00DF47D0"/>
    <w:rsid w:val="00EE51C3"/>
    <w:rsid w:val="00F01C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477A55"/>
  <w15:chartTrackingRefBased/>
  <w15:docId w15:val="{6F2F5D2F-EAFC-7C44-9C07-255C35EA4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227"/>
    <w:rPr>
      <w:rFonts w:ascii="Aptos" w:eastAsia="Aptos" w:hAnsi="Aptos" w:cs="Aptos"/>
      <w:kern w:val="0"/>
      <w:lang w:eastAsia="en-GB"/>
      <w14:ligatures w14:val="none"/>
    </w:rPr>
  </w:style>
  <w:style w:type="paragraph" w:styleId="Heading1">
    <w:name w:val="heading 1"/>
    <w:basedOn w:val="Normal"/>
    <w:next w:val="Normal"/>
    <w:link w:val="Heading1Char"/>
    <w:uiPriority w:val="9"/>
    <w:qFormat/>
    <w:rsid w:val="00A952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52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52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52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52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522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522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522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522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52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52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52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52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52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52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52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52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5227"/>
    <w:rPr>
      <w:rFonts w:eastAsiaTheme="majorEastAsia" w:cstheme="majorBidi"/>
      <w:color w:val="272727" w:themeColor="text1" w:themeTint="D8"/>
    </w:rPr>
  </w:style>
  <w:style w:type="paragraph" w:styleId="Title">
    <w:name w:val="Title"/>
    <w:basedOn w:val="Normal"/>
    <w:next w:val="Normal"/>
    <w:link w:val="TitleChar"/>
    <w:uiPriority w:val="10"/>
    <w:qFormat/>
    <w:rsid w:val="00A9522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52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522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52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522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95227"/>
    <w:rPr>
      <w:i/>
      <w:iCs/>
      <w:color w:val="404040" w:themeColor="text1" w:themeTint="BF"/>
    </w:rPr>
  </w:style>
  <w:style w:type="paragraph" w:styleId="ListParagraph">
    <w:name w:val="List Paragraph"/>
    <w:basedOn w:val="Normal"/>
    <w:uiPriority w:val="34"/>
    <w:qFormat/>
    <w:rsid w:val="00A95227"/>
    <w:pPr>
      <w:ind w:left="720"/>
      <w:contextualSpacing/>
    </w:pPr>
  </w:style>
  <w:style w:type="character" w:styleId="IntenseEmphasis">
    <w:name w:val="Intense Emphasis"/>
    <w:basedOn w:val="DefaultParagraphFont"/>
    <w:uiPriority w:val="21"/>
    <w:qFormat/>
    <w:rsid w:val="00A95227"/>
    <w:rPr>
      <w:i/>
      <w:iCs/>
      <w:color w:val="0F4761" w:themeColor="accent1" w:themeShade="BF"/>
    </w:rPr>
  </w:style>
  <w:style w:type="paragraph" w:styleId="IntenseQuote">
    <w:name w:val="Intense Quote"/>
    <w:basedOn w:val="Normal"/>
    <w:next w:val="Normal"/>
    <w:link w:val="IntenseQuoteChar"/>
    <w:uiPriority w:val="30"/>
    <w:qFormat/>
    <w:rsid w:val="00A952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5227"/>
    <w:rPr>
      <w:i/>
      <w:iCs/>
      <w:color w:val="0F4761" w:themeColor="accent1" w:themeShade="BF"/>
    </w:rPr>
  </w:style>
  <w:style w:type="character" w:styleId="IntenseReference">
    <w:name w:val="Intense Reference"/>
    <w:basedOn w:val="DefaultParagraphFont"/>
    <w:uiPriority w:val="32"/>
    <w:qFormat/>
    <w:rsid w:val="00A95227"/>
    <w:rPr>
      <w:b/>
      <w:bCs/>
      <w:smallCaps/>
      <w:color w:val="0F4761" w:themeColor="accent1" w:themeShade="BF"/>
      <w:spacing w:val="5"/>
    </w:rPr>
  </w:style>
  <w:style w:type="character" w:styleId="Hyperlink">
    <w:name w:val="Hyperlink"/>
    <w:basedOn w:val="DefaultParagraphFont"/>
    <w:uiPriority w:val="99"/>
    <w:unhideWhenUsed/>
    <w:rsid w:val="00A95227"/>
    <w:rPr>
      <w:color w:val="0000FF"/>
      <w:u w:val="single"/>
    </w:rPr>
  </w:style>
  <w:style w:type="table" w:styleId="TableGrid">
    <w:name w:val="Table Grid"/>
    <w:basedOn w:val="TableNormal"/>
    <w:uiPriority w:val="39"/>
    <w:rsid w:val="00A95227"/>
    <w:rPr>
      <w:rFonts w:ascii="Aptos" w:eastAsia="Aptos" w:hAnsi="Aptos" w:cs="Calibri (Body)"/>
      <w:color w:val="000000" w:themeColor="text1"/>
      <w:kern w:val="0"/>
      <w:sz w:val="22"/>
      <w:szCs w:val="22"/>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A95227"/>
    <w:pPr>
      <w:spacing w:before="100" w:beforeAutospacing="1" w:after="100" w:afterAutospacing="1"/>
    </w:pPr>
    <w:rPr>
      <w:rFonts w:ascii="Times New Roman" w:eastAsia="Times New Roman" w:hAnsi="Times New Roman" w:cs="Times New Roman"/>
    </w:rPr>
  </w:style>
  <w:style w:type="character" w:styleId="UnresolvedMention">
    <w:name w:val="Unresolved Mention"/>
    <w:basedOn w:val="DefaultParagraphFont"/>
    <w:uiPriority w:val="99"/>
    <w:semiHidden/>
    <w:unhideWhenUsed/>
    <w:rsid w:val="00383D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ability.ufl.edu/get-started/" TargetMode="External"/><Relationship Id="rId13" Type="http://schemas.openxmlformats.org/officeDocument/2006/relationships/hyperlink" Target="https://sccr.dso.ufl.edu/process/student-conduct-code/" TargetMode="External"/><Relationship Id="rId18" Type="http://schemas.openxmlformats.org/officeDocument/2006/relationships/hyperlink" Target="https://www.youtube.com/watch?v=LqgwDysJjY0" TargetMode="External"/><Relationship Id="rId3" Type="http://schemas.openxmlformats.org/officeDocument/2006/relationships/settings" Target="settings.xml"/><Relationship Id="rId7" Type="http://schemas.openxmlformats.org/officeDocument/2006/relationships/hyperlink" Target="mailto:luisgomezlomeli@ufl.edu" TargetMode="External"/><Relationship Id="rId12" Type="http://schemas.openxmlformats.org/officeDocument/2006/relationships/hyperlink" Target="https://lacc.uflib.ufl.edu/" TargetMode="External"/><Relationship Id="rId17" Type="http://schemas.openxmlformats.org/officeDocument/2006/relationships/hyperlink" Target="https://www.youtube.com/watch?v=UdYyPZktQR8&amp;t=1256s" TargetMode="External"/><Relationship Id="rId2" Type="http://schemas.openxmlformats.org/officeDocument/2006/relationships/styles" Target="styles.xml"/><Relationship Id="rId16" Type="http://schemas.openxmlformats.org/officeDocument/2006/relationships/hyperlink" Target="https://www.youtube.com/watch?v=Qrz37EyJ1o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catalog.ufl.edu/UGRD/academic-regulations/attendance-policies/" TargetMode="External"/><Relationship Id="rId11" Type="http://schemas.openxmlformats.org/officeDocument/2006/relationships/hyperlink" Target="mailto:lacref@uflib.ufl.edu" TargetMode="External"/><Relationship Id="rId5" Type="http://schemas.openxmlformats.org/officeDocument/2006/relationships/hyperlink" Target="mailto:weeksm@ufl.edu" TargetMode="External"/><Relationship Id="rId15" Type="http://schemas.openxmlformats.org/officeDocument/2006/relationships/hyperlink" Target="https://writing.ufl.edu/writing-studio/" TargetMode="External"/><Relationship Id="rId10" Type="http://schemas.openxmlformats.org/officeDocument/2006/relationships/hyperlink" Target="https://ufl.bluera.com/uf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gatorevals.aa.ufl.edu/students/" TargetMode="External"/><Relationship Id="rId14" Type="http://schemas.openxmlformats.org/officeDocument/2006/relationships/hyperlink" Target="https://catalog.ufl.edu/UGRD/academic-regulations/grades-grading-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9</Pages>
  <Words>3902</Words>
  <Characters>22242</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Weeks, Meg</dc:creator>
  <cp:keywords/>
  <dc:description/>
  <cp:lastModifiedBy>Weeks, Meg</cp:lastModifiedBy>
  <cp:revision>10</cp:revision>
  <dcterms:created xsi:type="dcterms:W3CDTF">2025-07-14T16:28:00Z</dcterms:created>
  <dcterms:modified xsi:type="dcterms:W3CDTF">2025-08-19T14:34:00Z</dcterms:modified>
</cp:coreProperties>
</file>